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F7476">
      <w:pPr>
        <w:pStyle w:val="2"/>
        <w:spacing w:before="139" w:line="224" w:lineRule="auto"/>
        <w:ind w:left="749"/>
        <w:outlineLvl w:val="0"/>
        <w:rPr>
          <w:sz w:val="35"/>
          <w:szCs w:val="35"/>
        </w:rPr>
      </w:pPr>
      <w:r>
        <w:rPr>
          <w:b/>
          <w:bCs/>
          <w:spacing w:val="6"/>
          <w:sz w:val="35"/>
          <w:szCs w:val="35"/>
        </w:rPr>
        <w:t>长春市建设监理协会关于赴济南市监理协会</w:t>
      </w:r>
    </w:p>
    <w:p w14:paraId="2F9C310F">
      <w:pPr>
        <w:pStyle w:val="2"/>
        <w:spacing w:before="199" w:line="223" w:lineRule="auto"/>
        <w:ind w:left="1840"/>
        <w:outlineLvl w:val="0"/>
        <w:rPr>
          <w:sz w:val="35"/>
          <w:szCs w:val="35"/>
        </w:rPr>
      </w:pPr>
      <w:r>
        <w:rPr>
          <w:b/>
          <w:bCs/>
          <w:spacing w:val="5"/>
          <w:sz w:val="35"/>
          <w:szCs w:val="35"/>
        </w:rPr>
        <w:t>学习行业发展经验的调研报告</w:t>
      </w:r>
    </w:p>
    <w:p w14:paraId="6B5D1EDC">
      <w:pPr>
        <w:spacing w:line="258" w:lineRule="auto"/>
        <w:rPr>
          <w:rFonts w:ascii="Arial"/>
          <w:sz w:val="21"/>
        </w:rPr>
      </w:pPr>
    </w:p>
    <w:p w14:paraId="056E98C1">
      <w:pPr>
        <w:spacing w:line="258" w:lineRule="auto"/>
        <w:rPr>
          <w:rFonts w:ascii="Arial"/>
          <w:sz w:val="21"/>
        </w:rPr>
      </w:pPr>
    </w:p>
    <w:p w14:paraId="7730AEBA">
      <w:pPr>
        <w:spacing w:line="259" w:lineRule="auto"/>
        <w:rPr>
          <w:rFonts w:ascii="Arial"/>
          <w:sz w:val="21"/>
        </w:rPr>
      </w:pPr>
    </w:p>
    <w:p w14:paraId="7ACC7436">
      <w:pPr>
        <w:pStyle w:val="2"/>
        <w:spacing w:before="91" w:line="411" w:lineRule="auto"/>
        <w:ind w:left="23" w:firstLine="563"/>
        <w:jc w:val="both"/>
        <w:rPr>
          <w:spacing w:val="-1"/>
        </w:rPr>
      </w:pPr>
      <w:r>
        <w:rPr>
          <w:spacing w:val="-4"/>
        </w:rPr>
        <w:t>为破解长春市监理行业发展瓶颈，学习国内先进地区行业治理与</w:t>
      </w:r>
      <w:r>
        <w:rPr>
          <w:spacing w:val="-7"/>
        </w:rPr>
        <w:t>创新实践经验，长春市建设监理协会（以下简称“我协会</w:t>
      </w:r>
      <w:r>
        <w:rPr>
          <w:spacing w:val="-103"/>
        </w:rPr>
        <w:t xml:space="preserve"> </w:t>
      </w:r>
      <w:r>
        <w:rPr>
          <w:spacing w:val="-7"/>
        </w:rPr>
        <w:t>”）于</w:t>
      </w:r>
      <w:r>
        <w:rPr>
          <w:spacing w:val="-59"/>
        </w:rPr>
        <w:t xml:space="preserve"> </w:t>
      </w:r>
      <w:r>
        <w:rPr>
          <w:spacing w:val="-7"/>
        </w:rPr>
        <w:t>2025</w:t>
      </w:r>
      <w:r>
        <w:rPr>
          <w:spacing w:val="-8"/>
        </w:rPr>
        <w:t>年</w:t>
      </w:r>
      <w:r>
        <w:rPr>
          <w:spacing w:val="-39"/>
        </w:rPr>
        <w:t xml:space="preserve"> </w:t>
      </w:r>
      <w:r>
        <w:rPr>
          <w:spacing w:val="-8"/>
        </w:rPr>
        <w:t>11</w:t>
      </w:r>
      <w:r>
        <w:rPr>
          <w:spacing w:val="-54"/>
        </w:rPr>
        <w:t xml:space="preserve"> </w:t>
      </w:r>
      <w:r>
        <w:rPr>
          <w:spacing w:val="-8"/>
        </w:rPr>
        <w:t>月</w:t>
      </w:r>
      <w:r>
        <w:rPr>
          <w:spacing w:val="-59"/>
        </w:rPr>
        <w:t xml:space="preserve"> </w:t>
      </w:r>
      <w:r>
        <w:rPr>
          <w:spacing w:val="-8"/>
        </w:rPr>
        <w:t>27 日组织</w:t>
      </w:r>
      <w:r>
        <w:rPr>
          <w:spacing w:val="-53"/>
        </w:rPr>
        <w:t xml:space="preserve"> </w:t>
      </w:r>
      <w:r>
        <w:rPr>
          <w:spacing w:val="-8"/>
        </w:rPr>
        <w:t>7</w:t>
      </w:r>
      <w:r>
        <w:rPr>
          <w:spacing w:val="-56"/>
        </w:rPr>
        <w:t xml:space="preserve"> </w:t>
      </w:r>
      <w:r>
        <w:rPr>
          <w:spacing w:val="-8"/>
        </w:rPr>
        <w:t>人考察组，赴山东省建设监理</w:t>
      </w:r>
      <w:r>
        <w:rPr>
          <w:spacing w:val="-9"/>
        </w:rPr>
        <w:t>与咨询协会（以下</w:t>
      </w:r>
      <w:r>
        <w:rPr>
          <w:spacing w:val="-12"/>
        </w:rPr>
        <w:t>简称“</w:t>
      </w:r>
      <w:r>
        <w:rPr>
          <w:spacing w:val="-105"/>
        </w:rPr>
        <w:t xml:space="preserve"> </w:t>
      </w:r>
      <w:r>
        <w:rPr>
          <w:spacing w:val="-12"/>
        </w:rPr>
        <w:t>山东协会</w:t>
      </w:r>
      <w:r>
        <w:rPr>
          <w:spacing w:val="-105"/>
        </w:rPr>
        <w:t xml:space="preserve"> </w:t>
      </w:r>
      <w:r>
        <w:rPr>
          <w:spacing w:val="-12"/>
        </w:rPr>
        <w:t>”）、济南市建设监理协会（以下简称“济南协会</w:t>
      </w:r>
      <w:r>
        <w:rPr>
          <w:spacing w:val="-103"/>
        </w:rPr>
        <w:t xml:space="preserve"> </w:t>
      </w:r>
      <w:r>
        <w:rPr>
          <w:spacing w:val="-12"/>
        </w:rPr>
        <w:t>”）</w:t>
      </w:r>
      <w:r>
        <w:rPr>
          <w:spacing w:val="-4"/>
        </w:rPr>
        <w:t>开展专题学习交流。本次调研聚焦行业制度建设、数字化转型、全过</w:t>
      </w:r>
      <w:r>
        <w:rPr>
          <w:spacing w:val="-9"/>
        </w:rPr>
        <w:t>程咨询推进、人才培养等核心议题，通过座谈交流、经验分享等形式，</w:t>
      </w:r>
      <w:r>
        <w:rPr>
          <w:spacing w:val="-4"/>
        </w:rPr>
        <w:t>全面梳理济南监理行业发展的先进模式与实践成果，为长春市监理行</w:t>
      </w:r>
      <w:r>
        <w:rPr>
          <w:spacing w:val="-1"/>
        </w:rPr>
        <w:t>业高质量发展提供参考路径。现将调研情况报告如下：</w:t>
      </w:r>
    </w:p>
    <w:p w14:paraId="03E7442A">
      <w:pPr>
        <w:pStyle w:val="2"/>
        <w:spacing w:before="91" w:line="411" w:lineRule="auto"/>
        <w:jc w:val="center"/>
        <w:rPr>
          <w:rFonts w:hint="eastAsia" w:eastAsia="宋体"/>
          <w:spacing w:val="-1"/>
          <w:lang w:eastAsia="zh-CN"/>
        </w:rPr>
      </w:pPr>
      <w:r>
        <w:rPr>
          <w:rFonts w:hint="eastAsia" w:eastAsia="宋体"/>
          <w:spacing w:val="-1"/>
          <w:lang w:eastAsia="zh-CN"/>
        </w:rPr>
        <w:drawing>
          <wp:inline distT="0" distB="0" distL="114300" distR="114300">
            <wp:extent cx="5346065" cy="4008120"/>
            <wp:effectExtent l="0" t="0" r="6985" b="11430"/>
            <wp:docPr id="1" name="图片 1" descr="92b7f225e687587db4fdef8e05ab37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2b7f225e687587db4fdef8e05ab375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FD9B4">
      <w:pPr>
        <w:pStyle w:val="2"/>
        <w:spacing w:before="1" w:line="219" w:lineRule="auto"/>
        <w:ind w:left="588"/>
        <w:outlineLvl w:val="1"/>
      </w:pPr>
      <w:r>
        <w:rPr>
          <w:b/>
          <w:bCs/>
          <w:spacing w:val="-4"/>
        </w:rPr>
        <w:t>一、调研背景与目的</w:t>
      </w:r>
    </w:p>
    <w:p w14:paraId="13E7AC4C">
      <w:pPr>
        <w:pStyle w:val="2"/>
        <w:spacing w:before="293" w:line="411" w:lineRule="auto"/>
        <w:ind w:left="25" w:right="67" w:firstLine="576"/>
        <w:jc w:val="both"/>
      </w:pPr>
      <w:r>
        <w:rPr>
          <w:spacing w:val="-3"/>
        </w:rPr>
        <w:t>当前，长春市监理行业面临市场秩序不规范、数字化转型滞后、</w:t>
      </w:r>
      <w:r>
        <w:rPr>
          <w:spacing w:val="-4"/>
        </w:rPr>
        <w:t>全过程咨询拓展乏力等问题，亟需借鉴外部先进经验破局。济南监理行业在规范化建设、数字化创新、行业协同等方面成效显著，是全国</w:t>
      </w:r>
      <w:r>
        <w:rPr>
          <w:spacing w:val="-1"/>
        </w:rPr>
        <w:t>监理行业的标杆地区之一。</w:t>
      </w:r>
    </w:p>
    <w:p w14:paraId="0679E432">
      <w:pPr>
        <w:pStyle w:val="2"/>
        <w:spacing w:before="1" w:line="219" w:lineRule="auto"/>
        <w:ind w:left="585"/>
      </w:pPr>
      <w:r>
        <w:rPr>
          <w:spacing w:val="-2"/>
        </w:rPr>
        <w:t>本次调研核心目的包括：</w:t>
      </w:r>
    </w:p>
    <w:p w14:paraId="1FF5102F">
      <w:pPr>
        <w:pStyle w:val="2"/>
        <w:spacing w:before="292" w:line="315" w:lineRule="auto"/>
        <w:ind w:left="26" w:right="120" w:firstLine="578"/>
      </w:pPr>
      <w:r>
        <w:t>1、深入了解济南监理协会在制度建设、运行模式、会员服务等</w:t>
      </w:r>
      <w:r>
        <w:rPr>
          <w:spacing w:val="-1"/>
        </w:rPr>
        <w:t>方面的成熟经验，为优化长春市监理行业治理体系提供依据；</w:t>
      </w:r>
    </w:p>
    <w:p w14:paraId="1F63E1BB">
      <w:pPr>
        <w:pStyle w:val="2"/>
        <w:spacing w:before="291" w:line="316" w:lineRule="auto"/>
        <w:ind w:left="27" w:right="120" w:firstLine="560"/>
      </w:pPr>
      <w:r>
        <w:rPr>
          <w:spacing w:val="1"/>
        </w:rPr>
        <w:t>2、学习济南在监理数字化转型、评价标准构建、信用体系融合</w:t>
      </w:r>
      <w:r>
        <w:rPr>
          <w:spacing w:val="-1"/>
        </w:rPr>
        <w:t>等方面的实践路径，推动长春行业技术升级；</w:t>
      </w:r>
    </w:p>
    <w:p w14:paraId="5216F7B8">
      <w:pPr>
        <w:pStyle w:val="2"/>
        <w:spacing w:before="180" w:line="221" w:lineRule="auto"/>
        <w:ind w:left="26"/>
      </w:pPr>
      <w:r>
        <w:rPr>
          <w:spacing w:val="1"/>
        </w:rPr>
        <w:t>3、探讨全过程工程咨询推进中的痛点解决方案，明确长春行业</w:t>
      </w:r>
      <w:r>
        <w:rPr>
          <w:spacing w:val="-3"/>
        </w:rPr>
        <w:t>转型方向；</w:t>
      </w:r>
    </w:p>
    <w:p w14:paraId="69144781">
      <w:pPr>
        <w:pStyle w:val="2"/>
        <w:spacing w:before="290" w:line="411" w:lineRule="auto"/>
        <w:ind w:left="29" w:right="98" w:firstLine="553"/>
      </w:pPr>
      <w:r>
        <w:rPr>
          <w:spacing w:val="1"/>
        </w:rPr>
        <w:t>4、建立两地协会长效合作机制，为后续跨区域资源共享、经验</w:t>
      </w:r>
      <w:r>
        <w:rPr>
          <w:spacing w:val="-3"/>
        </w:rPr>
        <w:t>互鉴奠定基础。</w:t>
      </w:r>
    </w:p>
    <w:p w14:paraId="130B41F0">
      <w:pPr>
        <w:pStyle w:val="2"/>
        <w:spacing w:before="1" w:line="219" w:lineRule="auto"/>
        <w:ind w:left="588"/>
        <w:outlineLvl w:val="1"/>
      </w:pPr>
      <w:r>
        <w:rPr>
          <w:b/>
          <w:bCs/>
          <w:spacing w:val="-3"/>
        </w:rPr>
        <w:t>二、济南监理行业发展现状与核心经验</w:t>
      </w:r>
    </w:p>
    <w:p w14:paraId="77B2A289">
      <w:pPr>
        <w:pStyle w:val="2"/>
        <w:spacing w:before="290" w:line="220" w:lineRule="auto"/>
        <w:ind w:left="592"/>
      </w:pPr>
      <w:r>
        <w:rPr>
          <w:spacing w:val="-1"/>
        </w:rPr>
        <w:t>（一）行业规模与结构：资质梯队完善，业务多元拓展</w:t>
      </w:r>
    </w:p>
    <w:p w14:paraId="072C6A73">
      <w:pPr>
        <w:pStyle w:val="2"/>
        <w:spacing w:before="293" w:line="411" w:lineRule="auto"/>
        <w:ind w:left="23" w:right="97" w:firstLine="560"/>
      </w:pPr>
      <w:r>
        <w:t>根据山东省建设监理与咨询协会数据，截至</w:t>
      </w:r>
      <w:r>
        <w:rPr>
          <w:spacing w:val="-50"/>
        </w:rPr>
        <w:t xml:space="preserve"> </w:t>
      </w:r>
      <w:r>
        <w:t>2024</w:t>
      </w:r>
      <w:r>
        <w:rPr>
          <w:spacing w:val="-55"/>
        </w:rPr>
        <w:t xml:space="preserve"> </w:t>
      </w:r>
      <w:r>
        <w:t>年，山东省经审核备案的监理企业达</w:t>
      </w:r>
      <w:r>
        <w:rPr>
          <w:spacing w:val="-33"/>
        </w:rPr>
        <w:t xml:space="preserve"> </w:t>
      </w:r>
      <w:r>
        <w:t>1249</w:t>
      </w:r>
      <w:r>
        <w:rPr>
          <w:spacing w:val="-51"/>
        </w:rPr>
        <w:t xml:space="preserve"> </w:t>
      </w:r>
      <w:r>
        <w:t>家（同比增长</w:t>
      </w:r>
      <w:r>
        <w:rPr>
          <w:spacing w:val="-37"/>
        </w:rPr>
        <w:t xml:space="preserve"> </w:t>
      </w:r>
      <w:r>
        <w:t>12.</w:t>
      </w:r>
      <w:r>
        <w:rPr>
          <w:spacing w:val="-1"/>
        </w:rPr>
        <w:t>6%</w:t>
      </w:r>
      <w:r>
        <w:rPr>
          <w:spacing w:val="12"/>
        </w:rPr>
        <w:t>），</w:t>
      </w:r>
      <w:r>
        <w:rPr>
          <w:spacing w:val="-1"/>
        </w:rPr>
        <w:t>其中综合资质</w:t>
      </w:r>
      <w:r>
        <w:rPr>
          <w:spacing w:val="-2"/>
        </w:rPr>
        <w:t>企业</w:t>
      </w:r>
      <w:r>
        <w:rPr>
          <w:spacing w:val="-46"/>
        </w:rPr>
        <w:t xml:space="preserve"> </w:t>
      </w:r>
      <w:r>
        <w:rPr>
          <w:spacing w:val="-2"/>
        </w:rPr>
        <w:t>30</w:t>
      </w:r>
      <w:r>
        <w:rPr>
          <w:spacing w:val="-58"/>
        </w:rPr>
        <w:t xml:space="preserve"> </w:t>
      </w:r>
      <w:r>
        <w:rPr>
          <w:spacing w:val="-2"/>
        </w:rPr>
        <w:t>家、甲级资质企业</w:t>
      </w:r>
      <w:r>
        <w:rPr>
          <w:spacing w:val="-52"/>
        </w:rPr>
        <w:t xml:space="preserve"> </w:t>
      </w:r>
      <w:r>
        <w:rPr>
          <w:spacing w:val="-2"/>
        </w:rPr>
        <w:t>512</w:t>
      </w:r>
      <w:r>
        <w:rPr>
          <w:spacing w:val="-56"/>
        </w:rPr>
        <w:t xml:space="preserve"> </w:t>
      </w:r>
      <w:r>
        <w:rPr>
          <w:spacing w:val="-2"/>
        </w:rPr>
        <w:t>家、乙级资质企业</w:t>
      </w:r>
      <w:r>
        <w:rPr>
          <w:spacing w:val="-53"/>
        </w:rPr>
        <w:t xml:space="preserve"> </w:t>
      </w:r>
      <w:r>
        <w:rPr>
          <w:spacing w:val="-2"/>
        </w:rPr>
        <w:t>702</w:t>
      </w:r>
      <w:r>
        <w:rPr>
          <w:spacing w:val="-56"/>
        </w:rPr>
        <w:t xml:space="preserve"> </w:t>
      </w:r>
      <w:r>
        <w:rPr>
          <w:spacing w:val="-2"/>
        </w:rPr>
        <w:t>家，资质梯队</w:t>
      </w:r>
      <w:r>
        <w:rPr>
          <w:spacing w:val="1"/>
        </w:rPr>
        <w:t>分布均衡；行业从业人员</w:t>
      </w:r>
      <w:r>
        <w:rPr>
          <w:spacing w:val="-36"/>
        </w:rPr>
        <w:t xml:space="preserve"> </w:t>
      </w:r>
      <w:r>
        <w:rPr>
          <w:spacing w:val="1"/>
        </w:rPr>
        <w:t>11.2</w:t>
      </w:r>
      <w:r>
        <w:rPr>
          <w:spacing w:val="-49"/>
        </w:rPr>
        <w:t xml:space="preserve"> </w:t>
      </w:r>
      <w:r>
        <w:rPr>
          <w:spacing w:val="1"/>
        </w:rPr>
        <w:t>万人，注册监理工程师2.7</w:t>
      </w:r>
      <w:r>
        <w:rPr>
          <w:spacing w:val="-52"/>
        </w:rPr>
        <w:t xml:space="preserve"> </w:t>
      </w:r>
      <w:r>
        <w:rPr>
          <w:spacing w:val="1"/>
        </w:rPr>
        <w:t>万人，专</w:t>
      </w:r>
      <w:r>
        <w:rPr>
          <w:spacing w:val="-2"/>
        </w:rPr>
        <w:t>业人才储备充足。</w:t>
      </w:r>
    </w:p>
    <w:p w14:paraId="0E34F215">
      <w:pPr>
        <w:pStyle w:val="2"/>
        <w:spacing w:before="4" w:line="411" w:lineRule="auto"/>
        <w:ind w:left="26" w:firstLine="561"/>
        <w:jc w:val="both"/>
      </w:pPr>
      <w:r>
        <w:rPr>
          <w:spacing w:val="-1"/>
        </w:rPr>
        <w:t>从业务营收看，山东省工程监理合同额达</w:t>
      </w:r>
      <w:r>
        <w:rPr>
          <w:spacing w:val="-21"/>
        </w:rPr>
        <w:t xml:space="preserve"> </w:t>
      </w:r>
      <w:r>
        <w:rPr>
          <w:spacing w:val="-1"/>
        </w:rPr>
        <w:t>103.62</w:t>
      </w:r>
      <w:r>
        <w:rPr>
          <w:spacing w:val="-57"/>
        </w:rPr>
        <w:t xml:space="preserve"> </w:t>
      </w:r>
      <w:r>
        <w:rPr>
          <w:spacing w:val="-1"/>
        </w:rPr>
        <w:t>亿元，监理业</w:t>
      </w:r>
      <w:r>
        <w:rPr>
          <w:spacing w:val="2"/>
        </w:rPr>
        <w:t>务收入</w:t>
      </w:r>
      <w:r>
        <w:rPr>
          <w:spacing w:val="-57"/>
        </w:rPr>
        <w:t xml:space="preserve"> </w:t>
      </w:r>
      <w:r>
        <w:rPr>
          <w:spacing w:val="2"/>
        </w:rPr>
        <w:t>92</w:t>
      </w:r>
      <w:r>
        <w:rPr>
          <w:spacing w:val="-57"/>
        </w:rPr>
        <w:t xml:space="preserve"> </w:t>
      </w:r>
      <w:r>
        <w:rPr>
          <w:spacing w:val="2"/>
        </w:rPr>
        <w:t>亿元；全过程工程咨询合同额21.59</w:t>
      </w:r>
      <w:r>
        <w:rPr>
          <w:spacing w:val="-57"/>
        </w:rPr>
        <w:t xml:space="preserve"> </w:t>
      </w:r>
      <w:r>
        <w:rPr>
          <w:spacing w:val="2"/>
        </w:rPr>
        <w:t>亿元，全过程咨询服</w:t>
      </w:r>
      <w:r>
        <w:rPr>
          <w:spacing w:val="-11"/>
        </w:rPr>
        <w:t>务收入</w:t>
      </w:r>
      <w:r>
        <w:rPr>
          <w:spacing w:val="-46"/>
        </w:rPr>
        <w:t xml:space="preserve"> </w:t>
      </w:r>
      <w:r>
        <w:rPr>
          <w:spacing w:val="-11"/>
        </w:rPr>
        <w:t>7.98</w:t>
      </w:r>
      <w:r>
        <w:rPr>
          <w:spacing w:val="-57"/>
        </w:rPr>
        <w:t xml:space="preserve"> </w:t>
      </w:r>
      <w:r>
        <w:rPr>
          <w:spacing w:val="-11"/>
        </w:rPr>
        <w:t>亿元，“传统监理+新型咨询</w:t>
      </w:r>
      <w:r>
        <w:rPr>
          <w:spacing w:val="-103"/>
        </w:rPr>
        <w:t xml:space="preserve"> </w:t>
      </w:r>
      <w:r>
        <w:rPr>
          <w:spacing w:val="-11"/>
        </w:rPr>
        <w:t>”双轨发展格局已初步形成。</w:t>
      </w:r>
      <w:r>
        <w:rPr>
          <w:spacing w:val="-5"/>
        </w:rPr>
        <w:t>其中，济南市作为核心城市，属地管理监理企业约</w:t>
      </w:r>
      <w:r>
        <w:rPr>
          <w:spacing w:val="-34"/>
        </w:rPr>
        <w:t xml:space="preserve"> </w:t>
      </w:r>
      <w:r>
        <w:rPr>
          <w:spacing w:val="-5"/>
        </w:rPr>
        <w:t>330</w:t>
      </w:r>
      <w:r>
        <w:rPr>
          <w:spacing w:val="-58"/>
        </w:rPr>
        <w:t xml:space="preserve"> </w:t>
      </w:r>
      <w:r>
        <w:rPr>
          <w:spacing w:val="-5"/>
        </w:rPr>
        <w:t>家（协会会员</w:t>
      </w:r>
      <w:r>
        <w:t>企业</w:t>
      </w:r>
      <w:r>
        <w:rPr>
          <w:spacing w:val="-54"/>
        </w:rPr>
        <w:t xml:space="preserve"> </w:t>
      </w:r>
      <w:r>
        <w:t>220</w:t>
      </w:r>
      <w:r>
        <w:rPr>
          <w:spacing w:val="-54"/>
        </w:rPr>
        <w:t xml:space="preserve"> </w:t>
      </w:r>
      <w:r>
        <w:t>家</w:t>
      </w:r>
      <w:r>
        <w:rPr>
          <w:spacing w:val="12"/>
        </w:rPr>
        <w:t>），</w:t>
      </w:r>
      <w:r>
        <w:t>会员覆盖率超</w:t>
      </w:r>
      <w:r>
        <w:rPr>
          <w:spacing w:val="-52"/>
        </w:rPr>
        <w:t xml:space="preserve"> </w:t>
      </w:r>
      <w:r>
        <w:t>66%，且拥有</w:t>
      </w:r>
      <w:r>
        <w:rPr>
          <w:spacing w:val="-57"/>
        </w:rPr>
        <w:t xml:space="preserve"> </w:t>
      </w:r>
      <w:r>
        <w:t>8</w:t>
      </w:r>
      <w:r>
        <w:rPr>
          <w:spacing w:val="-53"/>
        </w:rPr>
        <w:t xml:space="preserve"> </w:t>
      </w:r>
      <w:r>
        <w:t>家综合资质企业、1</w:t>
      </w:r>
      <w:r>
        <w:rPr>
          <w:spacing w:val="-1"/>
        </w:rPr>
        <w:t>30家甲级资质企业，为行业高质量发展提供坚实支撑。</w:t>
      </w:r>
    </w:p>
    <w:p w14:paraId="58C8623B">
      <w:pPr>
        <w:pStyle w:val="2"/>
        <w:spacing w:before="1" w:line="219" w:lineRule="auto"/>
        <w:ind w:left="592"/>
      </w:pPr>
      <w:r>
        <w:rPr>
          <w:spacing w:val="-1"/>
        </w:rPr>
        <w:t>（二）协会治理：党建引领+标准化，服务效能突出</w:t>
      </w:r>
    </w:p>
    <w:p w14:paraId="6BC75C72">
      <w:pPr>
        <w:pStyle w:val="2"/>
        <w:spacing w:before="292" w:line="411" w:lineRule="auto"/>
        <w:ind w:left="5" w:right="97" w:firstLine="579"/>
      </w:pPr>
      <w:r>
        <w:rPr>
          <w:spacing w:val="-5"/>
        </w:rPr>
        <w:t>济南协会以“服务政府、服务行业、服务会员</w:t>
      </w:r>
      <w:r>
        <w:rPr>
          <w:spacing w:val="-103"/>
        </w:rPr>
        <w:t xml:space="preserve"> </w:t>
      </w:r>
      <w:r>
        <w:rPr>
          <w:spacing w:val="-5"/>
        </w:rPr>
        <w:t>”为核心，</w:t>
      </w:r>
      <w:r>
        <w:rPr>
          <w:spacing w:val="-6"/>
        </w:rPr>
        <w:t>构建了</w:t>
      </w:r>
      <w:r>
        <w:rPr>
          <w:spacing w:val="-1"/>
        </w:rPr>
        <w:t>“党建引领+标准化运营</w:t>
      </w:r>
      <w:r>
        <w:rPr>
          <w:spacing w:val="-106"/>
        </w:rPr>
        <w:t xml:space="preserve"> </w:t>
      </w:r>
      <w:r>
        <w:rPr>
          <w:spacing w:val="-1"/>
        </w:rPr>
        <w:t>”的治理模式，其关键举措包括：</w:t>
      </w:r>
    </w:p>
    <w:p w14:paraId="4F574054">
      <w:pPr>
        <w:pStyle w:val="2"/>
        <w:spacing w:before="292" w:line="411" w:lineRule="auto"/>
        <w:ind w:left="5" w:right="97" w:firstLine="579"/>
        <w:rPr>
          <w:spacing w:val="-5"/>
        </w:rPr>
      </w:pPr>
      <w:r>
        <w:rPr>
          <w:spacing w:val="-5"/>
        </w:rPr>
        <w:t>组织架构健全：济南协会设立党组（2023 年成立，核心成员21人），统筹党建与业务融合；下设专家委员会、秘书处等部门，同时在北京设立专项服务部门，拓展服务半径；会员单位覆盖房建、市政、轨道交通等多个领域，行业凝聚力强。</w:t>
      </w:r>
    </w:p>
    <w:p w14:paraId="1ED3316B">
      <w:pPr>
        <w:pStyle w:val="2"/>
        <w:spacing w:before="292" w:line="411" w:lineRule="auto"/>
        <w:ind w:left="37" w:right="30" w:firstLine="559"/>
        <w:jc w:val="both"/>
      </w:pPr>
      <w:r>
        <w:rPr>
          <w:spacing w:val="-2"/>
        </w:rPr>
        <w:t>资金保障坚实：协会设立超</w:t>
      </w:r>
      <w:r>
        <w:rPr>
          <w:spacing w:val="-35"/>
        </w:rPr>
        <w:t xml:space="preserve"> </w:t>
      </w:r>
      <w:r>
        <w:rPr>
          <w:spacing w:val="-2"/>
        </w:rPr>
        <w:t>50</w:t>
      </w:r>
      <w:r>
        <w:rPr>
          <w:spacing w:val="-60"/>
        </w:rPr>
        <w:t xml:space="preserve"> </w:t>
      </w:r>
      <w:r>
        <w:rPr>
          <w:spacing w:val="-2"/>
        </w:rPr>
        <w:t>亿元规模账户及</w:t>
      </w:r>
      <w:r>
        <w:rPr>
          <w:spacing w:val="-49"/>
        </w:rPr>
        <w:t xml:space="preserve"> </w:t>
      </w:r>
      <w:r>
        <w:rPr>
          <w:spacing w:val="-2"/>
        </w:rPr>
        <w:t>3</w:t>
      </w:r>
      <w:r>
        <w:rPr>
          <w:spacing w:val="-57"/>
        </w:rPr>
        <w:t xml:space="preserve"> </w:t>
      </w:r>
      <w:r>
        <w:rPr>
          <w:spacing w:val="-2"/>
        </w:rPr>
        <w:t>亿元专项备用</w:t>
      </w:r>
      <w:r>
        <w:rPr>
          <w:spacing w:val="-4"/>
        </w:rPr>
        <w:t>资金，为行业活动、培训、数字化研发等提供稳定资金支持，避免因</w:t>
      </w:r>
      <w:r>
        <w:rPr>
          <w:spacing w:val="-3"/>
        </w:rPr>
        <w:t>资金短缺导致服务中断。</w:t>
      </w:r>
    </w:p>
    <w:p w14:paraId="145B4702">
      <w:pPr>
        <w:pStyle w:val="2"/>
        <w:spacing w:before="2" w:line="411" w:lineRule="auto"/>
        <w:ind w:left="25" w:right="30" w:firstLine="560"/>
        <w:jc w:val="both"/>
      </w:pPr>
      <w:r>
        <w:rPr>
          <w:spacing w:val="1"/>
        </w:rPr>
        <w:t>制度体系完善：制定涵盖党建工作、</w:t>
      </w:r>
      <w:r>
        <w:rPr>
          <w:spacing w:val="-78"/>
        </w:rPr>
        <w:t xml:space="preserve"> </w:t>
      </w:r>
      <w:r>
        <w:rPr>
          <w:spacing w:val="1"/>
        </w:rPr>
        <w:t>日常运营、业</w:t>
      </w:r>
      <w:r>
        <w:t>务开展的</w:t>
      </w:r>
      <w:r>
        <w:rPr>
          <w:spacing w:val="-51"/>
        </w:rPr>
        <w:t xml:space="preserve"> </w:t>
      </w:r>
      <w:r>
        <w:t>24</w:t>
      </w:r>
      <w:r>
        <w:rPr>
          <w:spacing w:val="-4"/>
        </w:rPr>
        <w:t>项内部制度，同时牵头编制《建设工程监理工作规程》《监理文件资</w:t>
      </w:r>
      <w:r>
        <w:rPr>
          <w:spacing w:val="-2"/>
        </w:rPr>
        <w:t>料管理规程》等地方标准，形成“</w:t>
      </w:r>
      <w:r>
        <w:rPr>
          <w:spacing w:val="-83"/>
        </w:rPr>
        <w:t xml:space="preserve"> </w:t>
      </w:r>
      <w:r>
        <w:rPr>
          <w:spacing w:val="-2"/>
        </w:rPr>
        <w:t>国家规范+地方细则</w:t>
      </w:r>
      <w:r>
        <w:rPr>
          <w:spacing w:val="-103"/>
        </w:rPr>
        <w:t xml:space="preserve"> </w:t>
      </w:r>
      <w:r>
        <w:rPr>
          <w:spacing w:val="-2"/>
        </w:rPr>
        <w:t>”的双重保障</w:t>
      </w:r>
      <w:r>
        <w:rPr>
          <w:spacing w:val="-1"/>
        </w:rPr>
        <w:t>体系，确保监理工作标准化、规范化。</w:t>
      </w:r>
    </w:p>
    <w:p w14:paraId="4C86FA3A">
      <w:pPr>
        <w:pStyle w:val="2"/>
        <w:spacing w:before="3" w:line="411" w:lineRule="auto"/>
        <w:ind w:left="25" w:right="30" w:firstLine="563"/>
        <w:jc w:val="both"/>
      </w:pPr>
      <w:r>
        <w:rPr>
          <w:spacing w:val="-4"/>
        </w:rPr>
        <w:t>行业自律严格：发布《行业自律投诉举报处理办法》，严厉整治</w:t>
      </w:r>
      <w:r>
        <w:rPr>
          <w:spacing w:val="-2"/>
        </w:rPr>
        <w:t>恶意低价竞标、违规经营等行为；</w:t>
      </w:r>
      <w:r>
        <w:rPr>
          <w:spacing w:val="-71"/>
        </w:rPr>
        <w:t xml:space="preserve"> </w:t>
      </w:r>
      <w:r>
        <w:rPr>
          <w:spacing w:val="-2"/>
        </w:rPr>
        <w:t>自</w:t>
      </w:r>
      <w:r>
        <w:rPr>
          <w:spacing w:val="-56"/>
        </w:rPr>
        <w:t xml:space="preserve"> </w:t>
      </w:r>
      <w:r>
        <w:rPr>
          <w:spacing w:val="-2"/>
        </w:rPr>
        <w:t>2020</w:t>
      </w:r>
      <w:r>
        <w:rPr>
          <w:spacing w:val="-57"/>
        </w:rPr>
        <w:t xml:space="preserve"> </w:t>
      </w:r>
      <w:r>
        <w:rPr>
          <w:spacing w:val="-2"/>
        </w:rPr>
        <w:t>年起，每年开展监理人员</w:t>
      </w:r>
      <w:r>
        <w:rPr>
          <w:spacing w:val="-4"/>
        </w:rPr>
        <w:t>最低工资收入调研，发布年度薪酬指引，保障从业人员合法权益；创</w:t>
      </w:r>
      <w:r>
        <w:rPr>
          <w:spacing w:val="-5"/>
        </w:rPr>
        <w:t>新“星级评价机制</w:t>
      </w:r>
      <w:r>
        <w:rPr>
          <w:spacing w:val="-96"/>
        </w:rPr>
        <w:t xml:space="preserve"> </w:t>
      </w:r>
      <w:r>
        <w:rPr>
          <w:spacing w:val="-5"/>
        </w:rPr>
        <w:t>”替代传统评优，通过内部公示、会员征求意见等</w:t>
      </w:r>
      <w:r>
        <w:rPr>
          <w:spacing w:val="-1"/>
        </w:rPr>
        <w:t>环节，确保评价公平公正。</w:t>
      </w:r>
    </w:p>
    <w:p w14:paraId="475F9768">
      <w:pPr>
        <w:pStyle w:val="2"/>
        <w:spacing w:before="1" w:line="219" w:lineRule="auto"/>
        <w:ind w:left="592"/>
      </w:pPr>
      <w:r>
        <w:rPr>
          <w:spacing w:val="-1"/>
        </w:rPr>
        <w:t>（三）数字化转型：标准引领+信用挂钩，破解转型难题</w:t>
      </w:r>
    </w:p>
    <w:p w14:paraId="0A046A21">
      <w:pPr>
        <w:pStyle w:val="2"/>
        <w:spacing w:before="291" w:line="411" w:lineRule="auto"/>
        <w:ind w:left="26" w:right="30" w:firstLine="559"/>
      </w:pPr>
      <w:r>
        <w:rPr>
          <w:spacing w:val="-4"/>
        </w:rPr>
        <w:t>济南监理行业在数字化转型中形成“标准先行、信用激励、政企</w:t>
      </w:r>
      <w:r>
        <w:rPr>
          <w:spacing w:val="-3"/>
        </w:rPr>
        <w:t>协同</w:t>
      </w:r>
      <w:r>
        <w:rPr>
          <w:spacing w:val="-102"/>
        </w:rPr>
        <w:t xml:space="preserve"> </w:t>
      </w:r>
      <w:r>
        <w:rPr>
          <w:spacing w:val="-3"/>
        </w:rPr>
        <w:t>”的特色路径，其核心成果包括：</w:t>
      </w:r>
    </w:p>
    <w:p w14:paraId="46E970AB">
      <w:pPr>
        <w:pStyle w:val="2"/>
        <w:spacing w:before="3" w:line="411" w:lineRule="auto"/>
        <w:ind w:left="23" w:firstLine="561"/>
      </w:pPr>
      <w:r>
        <w:rPr>
          <w:spacing w:val="-3"/>
        </w:rPr>
        <w:t>制定专属数字化标准：由山东建院工程监理咨询有限公司牵头，</w:t>
      </w:r>
      <w:r>
        <w:rPr>
          <w:spacing w:val="-4"/>
        </w:rPr>
        <w:t>历时半年调研编制《监理行业数字化标准》，明确人员管理、质量控</w:t>
      </w:r>
      <w:r>
        <w:rPr>
          <w:spacing w:val="-1"/>
        </w:rPr>
        <w:t>制、安全监理、信息管理等核心模块的应用底线，支持企业 “</w:t>
      </w:r>
      <w:r>
        <w:rPr>
          <w:spacing w:val="-75"/>
        </w:rPr>
        <w:t xml:space="preserve"> </w:t>
      </w:r>
      <w:r>
        <w:rPr>
          <w:spacing w:val="-1"/>
        </w:rPr>
        <w:t>自主</w:t>
      </w:r>
      <w:r>
        <w:rPr>
          <w:spacing w:val="-15"/>
        </w:rPr>
        <w:t>搭建系统</w:t>
      </w:r>
      <w:r>
        <w:rPr>
          <w:spacing w:val="-97"/>
        </w:rPr>
        <w:t xml:space="preserve"> </w:t>
      </w:r>
      <w:r>
        <w:rPr>
          <w:spacing w:val="-15"/>
        </w:rPr>
        <w:t>”或“依托现有工具增设模块</w:t>
      </w:r>
      <w:r>
        <w:rPr>
          <w:spacing w:val="-103"/>
        </w:rPr>
        <w:t xml:space="preserve"> </w:t>
      </w:r>
      <w:r>
        <w:rPr>
          <w:spacing w:val="-15"/>
        </w:rPr>
        <w:t>”，降低中小企业转型门槛（市</w:t>
      </w:r>
      <w:r>
        <w:rPr>
          <w:spacing w:val="-1"/>
        </w:rPr>
        <w:t>政工程可参照执行，房屋建筑工程强制适配）。</w:t>
      </w:r>
    </w:p>
    <w:p w14:paraId="3679F2A4">
      <w:pPr>
        <w:pStyle w:val="2"/>
        <w:spacing w:before="183" w:line="411" w:lineRule="auto"/>
        <w:ind w:left="27" w:right="76" w:firstLine="540" w:firstLineChars="200"/>
        <w:jc w:val="both"/>
      </w:pPr>
      <w:r>
        <w:rPr>
          <w:spacing w:val="-5"/>
        </w:rPr>
        <w:t>建立科学评价体系：数字化标准总分</w:t>
      </w:r>
      <w:r>
        <w:rPr>
          <w:spacing w:val="-39"/>
        </w:rPr>
        <w:t xml:space="preserve"> </w:t>
      </w:r>
      <w:r>
        <w:rPr>
          <w:spacing w:val="-5"/>
        </w:rPr>
        <w:t>120</w:t>
      </w:r>
      <w:r>
        <w:rPr>
          <w:spacing w:val="-57"/>
        </w:rPr>
        <w:t xml:space="preserve"> </w:t>
      </w:r>
      <w:r>
        <w:rPr>
          <w:spacing w:val="-5"/>
        </w:rPr>
        <w:t>分，按</w:t>
      </w:r>
      <w:r>
        <w:rPr>
          <w:spacing w:val="-6"/>
        </w:rPr>
        <w:t>评分结果划分等</w:t>
      </w:r>
      <w:r>
        <w:rPr>
          <w:spacing w:val="-4"/>
        </w:rPr>
        <w:t>级，评价结果直接纳入山东省建设信用评价体系，获评企业可获得信用加分，激发企业转型积极性；目前已启动试点参评，后续将在济南</w:t>
      </w:r>
      <w:r>
        <w:rPr>
          <w:spacing w:val="-2"/>
        </w:rPr>
        <w:t>市住建系统全面推广。</w:t>
      </w:r>
    </w:p>
    <w:p w14:paraId="1EEC0706">
      <w:pPr>
        <w:pStyle w:val="2"/>
        <w:spacing w:before="3" w:line="411" w:lineRule="auto"/>
        <w:ind w:left="23" w:right="76" w:firstLine="561"/>
        <w:jc w:val="both"/>
      </w:pPr>
      <w:r>
        <w:rPr>
          <w:spacing w:val="-4"/>
        </w:rPr>
        <w:t>技术应用务实高效：联合企业研发施工现场监理巡检机器人（入</w:t>
      </w:r>
      <w:r>
        <w:rPr>
          <w:spacing w:val="5"/>
        </w:rPr>
        <w:t>选省级工程质量安全重点改革事项</w:t>
      </w:r>
      <w:r>
        <w:rPr>
          <w:spacing w:val="14"/>
        </w:rPr>
        <w:t>），</w:t>
      </w:r>
      <w:r>
        <w:rPr>
          <w:spacing w:val="5"/>
        </w:rPr>
        <w:t>在行业大会展示应用；2024</w:t>
      </w:r>
      <w:r>
        <w:rPr>
          <w:spacing w:val="1"/>
        </w:rPr>
        <w:t>年筛选</w:t>
      </w:r>
      <w:r>
        <w:rPr>
          <w:spacing w:val="-32"/>
        </w:rPr>
        <w:t xml:space="preserve"> </w:t>
      </w:r>
      <w:r>
        <w:rPr>
          <w:spacing w:val="1"/>
        </w:rPr>
        <w:t>7</w:t>
      </w:r>
      <w:r>
        <w:rPr>
          <w:spacing w:val="-51"/>
        </w:rPr>
        <w:t xml:space="preserve"> </w:t>
      </w:r>
      <w:r>
        <w:rPr>
          <w:spacing w:val="1"/>
        </w:rPr>
        <w:t>家优质数字化供应商，组织直播推介活动（5000</w:t>
      </w:r>
      <w:r>
        <w:rPr>
          <w:spacing w:val="-53"/>
        </w:rPr>
        <w:t xml:space="preserve"> </w:t>
      </w:r>
      <w:r>
        <w:rPr>
          <w:spacing w:val="1"/>
        </w:rPr>
        <w:t>余人次观</w:t>
      </w:r>
      <w:r>
        <w:rPr>
          <w:spacing w:val="5"/>
        </w:rPr>
        <w:t>看</w:t>
      </w:r>
      <w:r>
        <w:rPr>
          <w:spacing w:val="17"/>
        </w:rPr>
        <w:t>），</w:t>
      </w:r>
      <w:r>
        <w:rPr>
          <w:spacing w:val="5"/>
        </w:rPr>
        <w:t>推动数字化工具普及；部分头部企业实现“数据采集-分析-</w:t>
      </w:r>
      <w:r>
        <w:rPr>
          <w:spacing w:val="-3"/>
        </w:rPr>
        <w:t>应用</w:t>
      </w:r>
      <w:r>
        <w:rPr>
          <w:spacing w:val="-98"/>
        </w:rPr>
        <w:t xml:space="preserve"> </w:t>
      </w:r>
      <w:r>
        <w:rPr>
          <w:spacing w:val="-3"/>
        </w:rPr>
        <w:t>”全闭环，监理人员工作效率提升</w:t>
      </w:r>
      <w:r>
        <w:rPr>
          <w:spacing w:val="-54"/>
        </w:rPr>
        <w:t xml:space="preserve"> </w:t>
      </w:r>
      <w:r>
        <w:rPr>
          <w:spacing w:val="-3"/>
        </w:rPr>
        <w:t>30%以上，数据追溯便捷性显著增强。</w:t>
      </w:r>
    </w:p>
    <w:p w14:paraId="45466AA6">
      <w:pPr>
        <w:pStyle w:val="2"/>
        <w:spacing w:before="1" w:line="219" w:lineRule="auto"/>
        <w:ind w:left="592"/>
      </w:pPr>
      <w:r>
        <w:rPr>
          <w:spacing w:val="-1"/>
        </w:rPr>
        <w:t>（四）全过程咨询推进：问题导向+试点突破，探索转型路径</w:t>
      </w:r>
    </w:p>
    <w:p w14:paraId="2E745382">
      <w:pPr>
        <w:pStyle w:val="2"/>
        <w:spacing w:before="291" w:line="411" w:lineRule="auto"/>
        <w:ind w:left="25" w:right="23" w:firstLine="559"/>
      </w:pPr>
      <w:r>
        <w:rPr>
          <w:spacing w:val="-2"/>
        </w:rPr>
        <w:t>针对全过程工程咨询拓展中的痛点，济南协会采取“政企协同、</w:t>
      </w:r>
      <w:r>
        <w:rPr>
          <w:spacing w:val="-4"/>
        </w:rPr>
        <w:t>试点先行</w:t>
      </w:r>
      <w:r>
        <w:rPr>
          <w:spacing w:val="-88"/>
        </w:rPr>
        <w:t xml:space="preserve"> </w:t>
      </w:r>
      <w:r>
        <w:rPr>
          <w:spacing w:val="-4"/>
        </w:rPr>
        <w:t>”的策略，具体措施包括：</w:t>
      </w:r>
    </w:p>
    <w:p w14:paraId="168CD898">
      <w:pPr>
        <w:pStyle w:val="2"/>
        <w:spacing w:before="2" w:line="363" w:lineRule="auto"/>
        <w:ind w:left="23" w:right="45" w:firstLine="581"/>
      </w:pPr>
      <w:r>
        <w:rPr>
          <w:spacing w:val="-2"/>
        </w:rPr>
        <w:t>1、强化认知普及：通过“监理大讲堂</w:t>
      </w:r>
      <w:r>
        <w:rPr>
          <w:spacing w:val="-103"/>
        </w:rPr>
        <w:t xml:space="preserve"> </w:t>
      </w:r>
      <w:r>
        <w:rPr>
          <w:spacing w:val="-2"/>
        </w:rPr>
        <w:t>”（每年</w:t>
      </w:r>
      <w:r>
        <w:rPr>
          <w:spacing w:val="-36"/>
        </w:rPr>
        <w:t xml:space="preserve"> </w:t>
      </w:r>
      <w:r>
        <w:rPr>
          <w:spacing w:val="-2"/>
        </w:rPr>
        <w:t>1</w:t>
      </w:r>
      <w:r>
        <w:rPr>
          <w:spacing w:val="-3"/>
        </w:rPr>
        <w:t>-2</w:t>
      </w:r>
      <w:r>
        <w:rPr>
          <w:spacing w:val="-62"/>
        </w:rPr>
        <w:t xml:space="preserve"> </w:t>
      </w:r>
      <w:r>
        <w:rPr>
          <w:spacing w:val="-3"/>
        </w:rPr>
        <w:t>场，覆盖技术负责人、总监理工程师等群体）、外出考察（如2024</w:t>
      </w:r>
      <w:r>
        <w:rPr>
          <w:spacing w:val="-56"/>
        </w:rPr>
        <w:t xml:space="preserve"> </w:t>
      </w:r>
      <w:r>
        <w:rPr>
          <w:spacing w:val="-3"/>
        </w:rPr>
        <w:t>年</w:t>
      </w:r>
      <w:r>
        <w:rPr>
          <w:spacing w:val="-39"/>
        </w:rPr>
        <w:t xml:space="preserve"> </w:t>
      </w:r>
      <w:r>
        <w:rPr>
          <w:spacing w:val="-3"/>
        </w:rPr>
        <w:t>10</w:t>
      </w:r>
      <w:r>
        <w:rPr>
          <w:spacing w:val="-54"/>
        </w:rPr>
        <w:t xml:space="preserve"> </w:t>
      </w:r>
      <w:r>
        <w:rPr>
          <w:spacing w:val="-3"/>
        </w:rPr>
        <w:t>月组织专家赴厦门参加智能建造会议）等形式，解读全过程咨询核心内涵，破除“传统监理+简单咨询</w:t>
      </w:r>
      <w:r>
        <w:rPr>
          <w:spacing w:val="-93"/>
        </w:rPr>
        <w:t xml:space="preserve"> </w:t>
      </w:r>
      <w:r>
        <w:rPr>
          <w:spacing w:val="-3"/>
        </w:rPr>
        <w:t>”的认知误区。</w:t>
      </w:r>
    </w:p>
    <w:p w14:paraId="4FB421F1">
      <w:pPr>
        <w:pStyle w:val="2"/>
        <w:spacing w:before="291" w:line="373" w:lineRule="auto"/>
        <w:ind w:left="23" w:firstLine="563"/>
      </w:pPr>
      <w:r>
        <w:rPr>
          <w:spacing w:val="1"/>
        </w:rPr>
        <w:t>2、推动政策落地：协助济南市住建局制定全过程咨询项目承接</w:t>
      </w:r>
      <w:r>
        <w:rPr>
          <w:spacing w:val="-5"/>
        </w:rPr>
        <w:t>指引，联合主管部门在政府投资项目中试点“打包招标</w:t>
      </w:r>
      <w:r>
        <w:rPr>
          <w:spacing w:val="-95"/>
        </w:rPr>
        <w:t xml:space="preserve"> </w:t>
      </w:r>
      <w:r>
        <w:rPr>
          <w:spacing w:val="-5"/>
        </w:rPr>
        <w:t>”，为企业提</w:t>
      </w:r>
      <w:r>
        <w:rPr>
          <w:spacing w:val="-10"/>
        </w:rPr>
        <w:t>供实践机会；同时推动监理费监管账户建设，明确建设单位配合义务，</w:t>
      </w:r>
      <w:r>
        <w:rPr>
          <w:spacing w:val="-6"/>
        </w:rPr>
        <w:t>解决企业“垫资监理</w:t>
      </w:r>
      <w:r>
        <w:rPr>
          <w:spacing w:val="-100"/>
        </w:rPr>
        <w:t xml:space="preserve"> </w:t>
      </w:r>
      <w:r>
        <w:rPr>
          <w:spacing w:val="-6"/>
        </w:rPr>
        <w:t>”“费用拖欠</w:t>
      </w:r>
      <w:r>
        <w:rPr>
          <w:spacing w:val="-105"/>
        </w:rPr>
        <w:t xml:space="preserve"> </w:t>
      </w:r>
      <w:r>
        <w:rPr>
          <w:spacing w:val="-6"/>
        </w:rPr>
        <w:t>”问题（部分项目应收账款周期从</w:t>
      </w:r>
      <w:r>
        <w:rPr>
          <w:spacing w:val="-4"/>
        </w:rPr>
        <w:t>1-2</w:t>
      </w:r>
      <w:r>
        <w:rPr>
          <w:spacing w:val="-56"/>
        </w:rPr>
        <w:t xml:space="preserve"> </w:t>
      </w:r>
      <w:r>
        <w:rPr>
          <w:spacing w:val="-4"/>
        </w:rPr>
        <w:t>年缩短至</w:t>
      </w:r>
      <w:r>
        <w:rPr>
          <w:spacing w:val="-54"/>
        </w:rPr>
        <w:t xml:space="preserve"> </w:t>
      </w:r>
      <w:r>
        <w:rPr>
          <w:spacing w:val="-4"/>
        </w:rPr>
        <w:t>3</w:t>
      </w:r>
      <w:r>
        <w:rPr>
          <w:spacing w:val="-60"/>
        </w:rPr>
        <w:t xml:space="preserve"> </w:t>
      </w:r>
      <w:r>
        <w:rPr>
          <w:spacing w:val="-4"/>
        </w:rPr>
        <w:t>个月内）。</w:t>
      </w:r>
    </w:p>
    <w:p w14:paraId="6EE05CBA">
      <w:pPr>
        <w:pStyle w:val="2"/>
        <w:spacing w:before="291" w:line="373" w:lineRule="auto"/>
        <w:ind w:left="23" w:firstLine="563"/>
        <w:rPr>
          <w:spacing w:val="-10"/>
        </w:rPr>
      </w:pPr>
      <w:r>
        <w:rPr>
          <w:spacing w:val="-10"/>
        </w:rPr>
        <w:t>3、补齐人才短板：联合山东建筑大学等高校，开设全过程咨询专项培训，内容涵盖造价咨询、法律风控、运营维护等领域；推动“校企合作 ”，设立工程管理与监理大学生知识竞赛，储备复合型人才。</w:t>
      </w:r>
    </w:p>
    <w:p w14:paraId="647F3A7C">
      <w:pPr>
        <w:pStyle w:val="2"/>
        <w:spacing w:before="291" w:line="373" w:lineRule="auto"/>
        <w:ind w:left="23" w:firstLine="563"/>
        <w:rPr>
          <w:spacing w:val="-10"/>
        </w:rPr>
      </w:pPr>
      <w:r>
        <w:rPr>
          <w:spacing w:val="-10"/>
        </w:rPr>
        <w:t>（五）人才培养：线上线下融合，构建梯队体系</w:t>
      </w:r>
    </w:p>
    <w:p w14:paraId="596053B0">
      <w:pPr>
        <w:pStyle w:val="2"/>
        <w:spacing w:before="291" w:line="373" w:lineRule="auto"/>
        <w:ind w:left="23" w:firstLine="563"/>
        <w:rPr>
          <w:spacing w:val="-10"/>
        </w:rPr>
      </w:pPr>
      <w:r>
        <w:rPr>
          <w:spacing w:val="-10"/>
        </w:rPr>
        <w:t>济南协会构建“线上常态化培训+线下专项实操 ”的人才培养模式，关键举措包括：</w:t>
      </w:r>
    </w:p>
    <w:p w14:paraId="60C9BF8B">
      <w:pPr>
        <w:pStyle w:val="2"/>
        <w:spacing w:before="3" w:line="347" w:lineRule="auto"/>
        <w:ind w:left="25" w:right="52" w:firstLine="579"/>
      </w:pPr>
      <w:r>
        <w:rPr>
          <w:spacing w:val="-2"/>
        </w:rPr>
        <w:t>1、线上平台稳定运行：2016</w:t>
      </w:r>
      <w:r>
        <w:rPr>
          <w:spacing w:val="-60"/>
        </w:rPr>
        <w:t xml:space="preserve"> </w:t>
      </w:r>
      <w:r>
        <w:rPr>
          <w:spacing w:val="-2"/>
        </w:rPr>
        <w:t>年上线监理人员业务</w:t>
      </w:r>
      <w:r>
        <w:rPr>
          <w:spacing w:val="-3"/>
        </w:rPr>
        <w:t>培训系统，提</w:t>
      </w:r>
      <w:r>
        <w:rPr>
          <w:spacing w:val="-4"/>
        </w:rPr>
        <w:t>供政策解读、技术规范、数字化工具应用等课程，满足从业人员碎片</w:t>
      </w:r>
      <w:r>
        <w:rPr>
          <w:spacing w:val="-2"/>
        </w:rPr>
        <w:t>化学习需求。</w:t>
      </w:r>
    </w:p>
    <w:p w14:paraId="4E9DAF92">
      <w:pPr>
        <w:pStyle w:val="2"/>
        <w:spacing w:before="287" w:line="364" w:lineRule="auto"/>
        <w:ind w:left="25" w:right="49" w:firstLine="562"/>
      </w:pPr>
      <w:r>
        <w:t>2、线下活动精准赋能：每年举办“监理大讲堂</w:t>
      </w:r>
      <w:r>
        <w:rPr>
          <w:spacing w:val="-103"/>
        </w:rPr>
        <w:t xml:space="preserve"> </w:t>
      </w:r>
      <w:r>
        <w:t>”“行业</w:t>
      </w:r>
      <w:r>
        <w:rPr>
          <w:spacing w:val="-1"/>
        </w:rPr>
        <w:t>专项培</w:t>
      </w:r>
      <w:r>
        <w:rPr>
          <w:spacing w:val="5"/>
        </w:rPr>
        <w:t>训</w:t>
      </w:r>
      <w:r>
        <w:rPr>
          <w:spacing w:val="-103"/>
        </w:rPr>
        <w:t xml:space="preserve"> </w:t>
      </w:r>
      <w:r>
        <w:rPr>
          <w:spacing w:val="5"/>
        </w:rPr>
        <w:t>”，邀请高校教授、企业骨干、行业专家授课，内容覆</w:t>
      </w:r>
      <w:r>
        <w:rPr>
          <w:spacing w:val="4"/>
        </w:rPr>
        <w:t>盖</w:t>
      </w:r>
      <w:r>
        <w:t>AI</w:t>
      </w:r>
      <w:r>
        <w:rPr>
          <w:spacing w:val="4"/>
        </w:rPr>
        <w:t>技术</w:t>
      </w:r>
      <w:r>
        <w:rPr>
          <w:spacing w:val="-4"/>
        </w:rPr>
        <w:t>应用、智能监理实操等；组织会员单位参加全国工程监理竞赛，在第</w:t>
      </w:r>
      <w:r>
        <w:rPr>
          <w:spacing w:val="-1"/>
        </w:rPr>
        <w:t>一、二届赛事中均获优异成绩。</w:t>
      </w:r>
    </w:p>
    <w:p w14:paraId="0484C795">
      <w:pPr>
        <w:pStyle w:val="2"/>
        <w:spacing w:before="292" w:line="363" w:lineRule="auto"/>
        <w:ind w:left="25" w:right="21" w:firstLine="564"/>
      </w:pPr>
      <w:r>
        <w:rPr>
          <w:spacing w:val="1"/>
        </w:rPr>
        <w:t>3、青年人才储备：推动高校与企业合作，设立实习基地，鼓励</w:t>
      </w:r>
      <w:r>
        <w:rPr>
          <w:spacing w:val="-3"/>
        </w:rPr>
        <w:t>青年人才参与重点项目（如地铁监理、大型市政工程</w:t>
      </w:r>
      <w:r>
        <w:rPr>
          <w:spacing w:val="-11"/>
        </w:rPr>
        <w:t>），</w:t>
      </w:r>
      <w:r>
        <w:rPr>
          <w:spacing w:val="-3"/>
        </w:rPr>
        <w:t>缩短职业成长周期；部分企业年轻人才（大学毕业</w:t>
      </w:r>
      <w:r>
        <w:rPr>
          <w:spacing w:val="-56"/>
        </w:rPr>
        <w:t xml:space="preserve"> </w:t>
      </w:r>
      <w:r>
        <w:rPr>
          <w:spacing w:val="-3"/>
        </w:rPr>
        <w:t>3-5</w:t>
      </w:r>
      <w:r>
        <w:rPr>
          <w:spacing w:val="-57"/>
        </w:rPr>
        <w:t xml:space="preserve"> </w:t>
      </w:r>
      <w:r>
        <w:rPr>
          <w:spacing w:val="-3"/>
        </w:rPr>
        <w:t>年）</w:t>
      </w:r>
      <w:r>
        <w:rPr>
          <w:spacing w:val="-4"/>
        </w:rPr>
        <w:t>已能独立负责项目，</w:t>
      </w:r>
      <w:r>
        <w:rPr>
          <w:spacing w:val="-1"/>
        </w:rPr>
        <w:t>人才梯队断层问题得到缓解。</w:t>
      </w:r>
    </w:p>
    <w:p w14:paraId="4A1AF873">
      <w:pPr>
        <w:pStyle w:val="2"/>
        <w:spacing w:before="292" w:line="220" w:lineRule="auto"/>
        <w:ind w:left="584"/>
        <w:outlineLvl w:val="1"/>
      </w:pPr>
      <w:r>
        <w:rPr>
          <w:b/>
          <w:bCs/>
          <w:spacing w:val="-3"/>
        </w:rPr>
        <w:t>三、长春市监理行业与济南的差距分析</w:t>
      </w:r>
    </w:p>
    <w:p w14:paraId="13ED9901">
      <w:pPr>
        <w:pStyle w:val="2"/>
        <w:spacing w:before="290" w:line="414" w:lineRule="auto"/>
        <w:ind w:left="27" w:right="52" w:firstLine="555"/>
      </w:pPr>
      <w:r>
        <w:rPr>
          <w:spacing w:val="-4"/>
        </w:rPr>
        <w:t>对比济南监理行业发展经验，结合长春市实际情况，当前存在的</w:t>
      </w:r>
      <w:r>
        <w:rPr>
          <w:spacing w:val="-2"/>
        </w:rPr>
        <w:t>主要差距如下：</w:t>
      </w:r>
    </w:p>
    <w:p w14:paraId="085600E4">
      <w:pPr>
        <w:spacing w:line="414" w:lineRule="auto"/>
        <w:sectPr>
          <w:pgSz w:w="11906" w:h="16839"/>
          <w:pgMar w:top="1431" w:right="1747" w:bottom="0" w:left="1785" w:header="0" w:footer="0" w:gutter="0"/>
          <w:cols w:space="720" w:num="1"/>
        </w:sectPr>
      </w:pPr>
    </w:p>
    <w:p w14:paraId="37DDCB8E">
      <w:pPr>
        <w:spacing w:line="91" w:lineRule="auto"/>
        <w:rPr>
          <w:rFonts w:ascii="Arial"/>
          <w:sz w:val="2"/>
        </w:rPr>
      </w:pPr>
    </w:p>
    <w:tbl>
      <w:tblPr>
        <w:tblStyle w:val="5"/>
        <w:tblW w:w="83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2265"/>
        <w:gridCol w:w="2820"/>
        <w:gridCol w:w="2640"/>
      </w:tblGrid>
      <w:tr w14:paraId="22EE1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615" w:type="dxa"/>
            <w:vAlign w:val="top"/>
          </w:tcPr>
          <w:p w14:paraId="59B45783">
            <w:pPr>
              <w:spacing w:line="273" w:lineRule="auto"/>
              <w:rPr>
                <w:rFonts w:ascii="Arial"/>
                <w:sz w:val="21"/>
              </w:rPr>
            </w:pPr>
          </w:p>
          <w:p w14:paraId="2C6163F9">
            <w:pPr>
              <w:pStyle w:val="6"/>
              <w:spacing w:before="65" w:line="229" w:lineRule="auto"/>
              <w:ind w:left="101"/>
            </w:pPr>
            <w:r>
              <w:rPr>
                <w:spacing w:val="5"/>
              </w:rPr>
              <w:t>对比</w:t>
            </w:r>
          </w:p>
          <w:p w14:paraId="5CABA607">
            <w:pPr>
              <w:spacing w:line="244" w:lineRule="auto"/>
              <w:rPr>
                <w:rFonts w:ascii="Arial"/>
                <w:sz w:val="21"/>
              </w:rPr>
            </w:pPr>
          </w:p>
          <w:p w14:paraId="2D804281">
            <w:pPr>
              <w:pStyle w:val="6"/>
              <w:spacing w:before="65" w:line="228" w:lineRule="auto"/>
              <w:ind w:left="105"/>
            </w:pPr>
            <w:r>
              <w:rPr>
                <w:spacing w:val="3"/>
              </w:rPr>
              <w:t>维度</w:t>
            </w:r>
          </w:p>
        </w:tc>
        <w:tc>
          <w:tcPr>
            <w:tcW w:w="2265" w:type="dxa"/>
            <w:vAlign w:val="top"/>
          </w:tcPr>
          <w:p w14:paraId="775D0240">
            <w:pPr>
              <w:spacing w:line="275" w:lineRule="auto"/>
              <w:rPr>
                <w:rFonts w:ascii="Arial"/>
                <w:sz w:val="21"/>
              </w:rPr>
            </w:pPr>
          </w:p>
          <w:p w14:paraId="4312F804">
            <w:pPr>
              <w:spacing w:line="276" w:lineRule="auto"/>
              <w:rPr>
                <w:rFonts w:ascii="Arial"/>
                <w:sz w:val="21"/>
              </w:rPr>
            </w:pPr>
          </w:p>
          <w:p w14:paraId="7885EC0C">
            <w:pPr>
              <w:pStyle w:val="6"/>
              <w:spacing w:before="65" w:line="228" w:lineRule="auto"/>
              <w:ind w:left="822"/>
            </w:pPr>
            <w:r>
              <w:rPr>
                <w:spacing w:val="7"/>
              </w:rPr>
              <w:t>济南市情况</w:t>
            </w:r>
          </w:p>
        </w:tc>
        <w:tc>
          <w:tcPr>
            <w:tcW w:w="2820" w:type="dxa"/>
            <w:vAlign w:val="top"/>
          </w:tcPr>
          <w:p w14:paraId="584B1CB5">
            <w:pPr>
              <w:spacing w:line="275" w:lineRule="auto"/>
              <w:rPr>
                <w:rFonts w:ascii="Arial"/>
                <w:sz w:val="21"/>
              </w:rPr>
            </w:pPr>
          </w:p>
          <w:p w14:paraId="5424FCD5">
            <w:pPr>
              <w:spacing w:line="276" w:lineRule="auto"/>
              <w:rPr>
                <w:rFonts w:ascii="Arial"/>
                <w:sz w:val="21"/>
              </w:rPr>
            </w:pPr>
          </w:p>
          <w:p w14:paraId="617B2BEF">
            <w:pPr>
              <w:pStyle w:val="6"/>
              <w:spacing w:before="65" w:line="228" w:lineRule="auto"/>
              <w:ind w:left="1101"/>
            </w:pPr>
            <w:r>
              <w:rPr>
                <w:spacing w:val="7"/>
              </w:rPr>
              <w:t>长春市情况</w:t>
            </w:r>
          </w:p>
        </w:tc>
        <w:tc>
          <w:tcPr>
            <w:tcW w:w="2640" w:type="dxa"/>
            <w:vAlign w:val="top"/>
          </w:tcPr>
          <w:p w14:paraId="1DD16EC0">
            <w:pPr>
              <w:spacing w:line="276" w:lineRule="auto"/>
              <w:rPr>
                <w:rFonts w:ascii="Arial"/>
                <w:sz w:val="21"/>
              </w:rPr>
            </w:pPr>
          </w:p>
          <w:p w14:paraId="5401941D">
            <w:pPr>
              <w:spacing w:line="276" w:lineRule="auto"/>
              <w:rPr>
                <w:rFonts w:ascii="Arial"/>
                <w:sz w:val="21"/>
              </w:rPr>
            </w:pPr>
          </w:p>
          <w:p w14:paraId="7BEC9934">
            <w:pPr>
              <w:pStyle w:val="6"/>
              <w:spacing w:before="65" w:line="228" w:lineRule="auto"/>
              <w:ind w:left="1117"/>
            </w:pPr>
            <w:r>
              <w:rPr>
                <w:spacing w:val="6"/>
              </w:rPr>
              <w:t>核心差距</w:t>
            </w:r>
          </w:p>
        </w:tc>
      </w:tr>
      <w:tr w14:paraId="7DC15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615" w:type="dxa"/>
            <w:tcBorders>
              <w:bottom w:val="nil"/>
            </w:tcBorders>
            <w:vAlign w:val="top"/>
          </w:tcPr>
          <w:p w14:paraId="7AC34D80">
            <w:pPr>
              <w:spacing w:line="253" w:lineRule="auto"/>
              <w:rPr>
                <w:rFonts w:ascii="Arial"/>
                <w:sz w:val="21"/>
              </w:rPr>
            </w:pPr>
          </w:p>
          <w:p w14:paraId="13714DD6">
            <w:pPr>
              <w:spacing w:line="254" w:lineRule="auto"/>
              <w:rPr>
                <w:rFonts w:ascii="Arial"/>
                <w:sz w:val="21"/>
              </w:rPr>
            </w:pPr>
          </w:p>
          <w:p w14:paraId="5A6B6CD5">
            <w:pPr>
              <w:pStyle w:val="6"/>
              <w:spacing w:before="65" w:line="228" w:lineRule="auto"/>
              <w:ind w:left="105"/>
            </w:pPr>
            <w:r>
              <w:rPr>
                <w:spacing w:val="3"/>
              </w:rPr>
              <w:t>行业</w:t>
            </w:r>
          </w:p>
        </w:tc>
        <w:tc>
          <w:tcPr>
            <w:tcW w:w="2265" w:type="dxa"/>
            <w:tcBorders>
              <w:bottom w:val="nil"/>
            </w:tcBorders>
            <w:vAlign w:val="top"/>
          </w:tcPr>
          <w:p w14:paraId="465D3182">
            <w:pPr>
              <w:spacing w:line="261" w:lineRule="auto"/>
              <w:rPr>
                <w:rFonts w:ascii="Arial"/>
                <w:sz w:val="21"/>
              </w:rPr>
            </w:pPr>
          </w:p>
          <w:p w14:paraId="7DA56296">
            <w:pPr>
              <w:spacing w:line="261" w:lineRule="auto"/>
              <w:rPr>
                <w:rFonts w:ascii="Arial"/>
                <w:sz w:val="21"/>
              </w:rPr>
            </w:pPr>
          </w:p>
          <w:p w14:paraId="2EAB05CE">
            <w:pPr>
              <w:spacing w:line="261" w:lineRule="auto"/>
              <w:rPr>
                <w:rFonts w:ascii="Arial"/>
                <w:sz w:val="21"/>
              </w:rPr>
            </w:pPr>
          </w:p>
          <w:p w14:paraId="2D769266">
            <w:pPr>
              <w:pStyle w:val="6"/>
              <w:spacing w:before="65" w:line="214" w:lineRule="auto"/>
              <w:ind w:left="38"/>
            </w:pPr>
            <w:r>
              <w:rPr>
                <w:spacing w:val="5"/>
              </w:rPr>
              <w:t>330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家属地企业，8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家综</w:t>
            </w:r>
          </w:p>
        </w:tc>
        <w:tc>
          <w:tcPr>
            <w:tcW w:w="2820" w:type="dxa"/>
            <w:tcBorders>
              <w:bottom w:val="nil"/>
            </w:tcBorders>
            <w:vAlign w:val="top"/>
          </w:tcPr>
          <w:p w14:paraId="559D493E">
            <w:pPr>
              <w:spacing w:line="261" w:lineRule="auto"/>
              <w:rPr>
                <w:rFonts w:ascii="Arial"/>
                <w:sz w:val="21"/>
              </w:rPr>
            </w:pPr>
          </w:p>
          <w:p w14:paraId="5F82043D">
            <w:pPr>
              <w:spacing w:line="261" w:lineRule="auto"/>
              <w:rPr>
                <w:rFonts w:ascii="Arial"/>
                <w:sz w:val="21"/>
              </w:rPr>
            </w:pPr>
          </w:p>
          <w:p w14:paraId="5A48BCB0">
            <w:pPr>
              <w:spacing w:line="261" w:lineRule="auto"/>
              <w:rPr>
                <w:rFonts w:ascii="Arial"/>
                <w:sz w:val="21"/>
              </w:rPr>
            </w:pPr>
          </w:p>
          <w:p w14:paraId="2FB71A50">
            <w:pPr>
              <w:pStyle w:val="6"/>
              <w:spacing w:before="65" w:line="214" w:lineRule="auto"/>
              <w:ind w:left="23"/>
            </w:pPr>
            <w:r>
              <w:rPr>
                <w:spacing w:val="1"/>
              </w:rPr>
              <w:t>220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家属地企业，专项甲级资质</w:t>
            </w:r>
          </w:p>
        </w:tc>
        <w:tc>
          <w:tcPr>
            <w:tcW w:w="2640" w:type="dxa"/>
            <w:tcBorders>
              <w:bottom w:val="nil"/>
            </w:tcBorders>
            <w:vAlign w:val="top"/>
          </w:tcPr>
          <w:p w14:paraId="53160F30">
            <w:pPr>
              <w:spacing w:line="261" w:lineRule="auto"/>
              <w:rPr>
                <w:rFonts w:ascii="Arial"/>
                <w:sz w:val="21"/>
              </w:rPr>
            </w:pPr>
          </w:p>
          <w:p w14:paraId="6CB7E202">
            <w:pPr>
              <w:spacing w:line="261" w:lineRule="auto"/>
              <w:rPr>
                <w:rFonts w:ascii="Arial"/>
                <w:sz w:val="21"/>
              </w:rPr>
            </w:pPr>
          </w:p>
          <w:p w14:paraId="4920BF04">
            <w:pPr>
              <w:spacing w:line="261" w:lineRule="auto"/>
              <w:rPr>
                <w:rFonts w:ascii="Arial"/>
                <w:sz w:val="21"/>
              </w:rPr>
            </w:pPr>
          </w:p>
          <w:p w14:paraId="286397B6">
            <w:pPr>
              <w:pStyle w:val="6"/>
              <w:spacing w:before="65" w:line="214" w:lineRule="auto"/>
              <w:ind w:left="64"/>
            </w:pPr>
            <w:r>
              <w:rPr>
                <w:spacing w:val="9"/>
              </w:rPr>
              <w:t>长春缺乏综合资质企业，头</w:t>
            </w:r>
          </w:p>
        </w:tc>
      </w:tr>
      <w:tr w14:paraId="631E9F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15" w:type="dxa"/>
            <w:tcBorders>
              <w:top w:val="nil"/>
              <w:bottom w:val="nil"/>
            </w:tcBorders>
            <w:vAlign w:val="top"/>
          </w:tcPr>
          <w:p w14:paraId="38DC1B1C">
            <w:pPr>
              <w:pStyle w:val="6"/>
              <w:spacing w:before="38" w:line="228" w:lineRule="auto"/>
              <w:ind w:left="102"/>
            </w:pPr>
            <w:r>
              <w:rPr>
                <w:spacing w:val="4"/>
              </w:rPr>
              <w:t>规模</w:t>
            </w:r>
          </w:p>
        </w:tc>
        <w:tc>
          <w:tcPr>
            <w:tcW w:w="2265" w:type="dxa"/>
            <w:tcBorders>
              <w:top w:val="nil"/>
              <w:bottom w:val="nil"/>
            </w:tcBorders>
            <w:vAlign w:val="top"/>
          </w:tcPr>
          <w:p w14:paraId="31ED2083">
            <w:pPr>
              <w:spacing w:line="253" w:lineRule="auto"/>
              <w:rPr>
                <w:rFonts w:ascii="Arial"/>
                <w:sz w:val="21"/>
              </w:rPr>
            </w:pPr>
          </w:p>
          <w:p w14:paraId="3C2B2C1C">
            <w:pPr>
              <w:pStyle w:val="6"/>
              <w:spacing w:before="65" w:line="213" w:lineRule="auto"/>
              <w:jc w:val="right"/>
            </w:pPr>
            <w:r>
              <w:rPr>
                <w:spacing w:val="-8"/>
              </w:rPr>
              <w:t>合资质、130</w:t>
            </w:r>
            <w:r>
              <w:rPr>
                <w:spacing w:val="-58"/>
              </w:rPr>
              <w:t xml:space="preserve"> </w:t>
            </w:r>
            <w:r>
              <w:rPr>
                <w:spacing w:val="-8"/>
              </w:rPr>
              <w:t>家甲级资质，</w:t>
            </w:r>
          </w:p>
        </w:tc>
        <w:tc>
          <w:tcPr>
            <w:tcW w:w="2820" w:type="dxa"/>
            <w:tcBorders>
              <w:top w:val="nil"/>
              <w:bottom w:val="nil"/>
            </w:tcBorders>
            <w:vAlign w:val="top"/>
          </w:tcPr>
          <w:p w14:paraId="725ED572">
            <w:pPr>
              <w:spacing w:line="253" w:lineRule="auto"/>
              <w:rPr>
                <w:rFonts w:ascii="Arial"/>
                <w:sz w:val="21"/>
              </w:rPr>
            </w:pPr>
          </w:p>
          <w:p w14:paraId="73715525">
            <w:pPr>
              <w:pStyle w:val="6"/>
              <w:spacing w:before="65" w:line="213" w:lineRule="auto"/>
              <w:ind w:left="79"/>
            </w:pPr>
            <w:r>
              <w:rPr>
                <w:spacing w:val="6"/>
              </w:rPr>
              <w:t>企业占比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50%，会员覆盖率近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top"/>
          </w:tcPr>
          <w:p w14:paraId="5887CB1A">
            <w:pPr>
              <w:spacing w:line="253" w:lineRule="auto"/>
              <w:rPr>
                <w:rFonts w:ascii="Arial"/>
                <w:sz w:val="21"/>
              </w:rPr>
            </w:pPr>
          </w:p>
          <w:p w14:paraId="26DB651C">
            <w:pPr>
              <w:pStyle w:val="6"/>
              <w:spacing w:before="65" w:line="213" w:lineRule="auto"/>
              <w:ind w:left="66"/>
            </w:pPr>
            <w:r>
              <w:rPr>
                <w:spacing w:val="8"/>
              </w:rPr>
              <w:t>部企业引领作用弱，业务辐</w:t>
            </w:r>
          </w:p>
        </w:tc>
      </w:tr>
      <w:tr w14:paraId="06FD2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15" w:type="dxa"/>
            <w:tcBorders>
              <w:top w:val="nil"/>
              <w:bottom w:val="nil"/>
            </w:tcBorders>
            <w:vAlign w:val="top"/>
          </w:tcPr>
          <w:p w14:paraId="247B9445">
            <w:pPr>
              <w:pStyle w:val="6"/>
              <w:spacing w:before="37" w:line="229" w:lineRule="auto"/>
              <w:ind w:left="106"/>
            </w:pPr>
            <w:r>
              <w:rPr>
                <w:spacing w:val="2"/>
              </w:rPr>
              <w:t>与资</w:t>
            </w:r>
          </w:p>
        </w:tc>
        <w:tc>
          <w:tcPr>
            <w:tcW w:w="2265" w:type="dxa"/>
            <w:tcBorders>
              <w:top w:val="nil"/>
              <w:bottom w:val="nil"/>
            </w:tcBorders>
            <w:vAlign w:val="top"/>
          </w:tcPr>
          <w:p w14:paraId="4DE040CA">
            <w:pPr>
              <w:spacing w:line="251" w:lineRule="auto"/>
              <w:rPr>
                <w:rFonts w:ascii="Arial"/>
                <w:sz w:val="21"/>
              </w:rPr>
            </w:pPr>
          </w:p>
          <w:p w14:paraId="3B008119">
            <w:pPr>
              <w:pStyle w:val="6"/>
              <w:spacing w:before="65" w:line="215" w:lineRule="auto"/>
              <w:ind w:left="427"/>
            </w:pPr>
            <w:r>
              <w:rPr>
                <w:spacing w:val="13"/>
              </w:rPr>
              <w:t>会员覆盖率66%</w:t>
            </w:r>
          </w:p>
        </w:tc>
        <w:tc>
          <w:tcPr>
            <w:tcW w:w="2820" w:type="dxa"/>
            <w:tcBorders>
              <w:top w:val="nil"/>
              <w:bottom w:val="nil"/>
            </w:tcBorders>
            <w:vAlign w:val="top"/>
          </w:tcPr>
          <w:p w14:paraId="5CC5C87A">
            <w:pPr>
              <w:spacing w:line="251" w:lineRule="auto"/>
              <w:rPr>
                <w:rFonts w:ascii="Arial"/>
                <w:sz w:val="21"/>
              </w:rPr>
            </w:pPr>
          </w:p>
          <w:p w14:paraId="1A799964">
            <w:pPr>
              <w:pStyle w:val="6"/>
              <w:spacing w:before="65" w:line="215" w:lineRule="auto"/>
              <w:ind w:left="276"/>
            </w:pPr>
            <w:r>
              <w:rPr>
                <w:spacing w:val="5"/>
              </w:rPr>
              <w:t>100%（但企业规模偏小）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top"/>
          </w:tcPr>
          <w:p w14:paraId="5526B194">
            <w:pPr>
              <w:spacing w:line="251" w:lineRule="auto"/>
              <w:rPr>
                <w:rFonts w:ascii="Arial"/>
                <w:sz w:val="21"/>
              </w:rPr>
            </w:pPr>
          </w:p>
          <w:p w14:paraId="3439F7E9">
            <w:pPr>
              <w:pStyle w:val="6"/>
              <w:spacing w:before="65" w:line="215" w:lineRule="auto"/>
              <w:ind w:left="800"/>
            </w:pPr>
            <w:r>
              <w:rPr>
                <w:spacing w:val="8"/>
              </w:rPr>
              <w:t>射能力有限</w:t>
            </w:r>
          </w:p>
        </w:tc>
      </w:tr>
      <w:tr w14:paraId="7CF9D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615" w:type="dxa"/>
            <w:tcBorders>
              <w:top w:val="nil"/>
            </w:tcBorders>
            <w:vAlign w:val="top"/>
          </w:tcPr>
          <w:p w14:paraId="5AE25A46">
            <w:pPr>
              <w:pStyle w:val="6"/>
              <w:spacing w:before="38" w:line="228" w:lineRule="auto"/>
              <w:ind w:left="208"/>
            </w:pPr>
            <w:r>
              <w:t>质</w:t>
            </w:r>
          </w:p>
        </w:tc>
        <w:tc>
          <w:tcPr>
            <w:tcW w:w="2265" w:type="dxa"/>
            <w:tcBorders>
              <w:top w:val="nil"/>
            </w:tcBorders>
            <w:vAlign w:val="top"/>
          </w:tcPr>
          <w:p w14:paraId="5748A2F3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tcBorders>
              <w:top w:val="nil"/>
            </w:tcBorders>
            <w:vAlign w:val="top"/>
          </w:tcPr>
          <w:p w14:paraId="1390F7FF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nil"/>
            </w:tcBorders>
            <w:vAlign w:val="top"/>
          </w:tcPr>
          <w:p w14:paraId="12FBD88C">
            <w:pPr>
              <w:rPr>
                <w:rFonts w:ascii="Arial"/>
                <w:sz w:val="21"/>
              </w:rPr>
            </w:pPr>
          </w:p>
        </w:tc>
      </w:tr>
      <w:tr w14:paraId="0C0E8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615" w:type="dxa"/>
            <w:tcBorders>
              <w:bottom w:val="nil"/>
            </w:tcBorders>
            <w:vAlign w:val="top"/>
          </w:tcPr>
          <w:p w14:paraId="1A1335E4">
            <w:pPr>
              <w:spacing w:line="268" w:lineRule="auto"/>
              <w:rPr>
                <w:rFonts w:ascii="Arial"/>
                <w:sz w:val="21"/>
              </w:rPr>
            </w:pPr>
          </w:p>
          <w:p w14:paraId="2B2E25BA">
            <w:pPr>
              <w:pStyle w:val="6"/>
              <w:spacing w:before="65" w:line="227" w:lineRule="auto"/>
              <w:ind w:left="102"/>
            </w:pPr>
            <w:r>
              <w:rPr>
                <w:spacing w:val="4"/>
              </w:rPr>
              <w:t>协会</w:t>
            </w:r>
          </w:p>
        </w:tc>
        <w:tc>
          <w:tcPr>
            <w:tcW w:w="2265" w:type="dxa"/>
            <w:tcBorders>
              <w:bottom w:val="nil"/>
            </w:tcBorders>
            <w:vAlign w:val="top"/>
          </w:tcPr>
          <w:p w14:paraId="2FB3225E">
            <w:pPr>
              <w:spacing w:line="273" w:lineRule="auto"/>
              <w:rPr>
                <w:rFonts w:ascii="Arial"/>
                <w:sz w:val="21"/>
              </w:rPr>
            </w:pPr>
          </w:p>
          <w:p w14:paraId="473040C6">
            <w:pPr>
              <w:spacing w:line="274" w:lineRule="auto"/>
              <w:rPr>
                <w:rFonts w:ascii="Arial"/>
                <w:sz w:val="21"/>
              </w:rPr>
            </w:pPr>
          </w:p>
          <w:p w14:paraId="12194FE6">
            <w:pPr>
              <w:pStyle w:val="6"/>
              <w:spacing w:before="65" w:line="216" w:lineRule="auto"/>
              <w:ind w:left="35"/>
            </w:pPr>
            <w:r>
              <w:rPr>
                <w:spacing w:val="7"/>
              </w:rPr>
              <w:t>党组统筹党建+业务，50</w:t>
            </w:r>
          </w:p>
        </w:tc>
        <w:tc>
          <w:tcPr>
            <w:tcW w:w="2820" w:type="dxa"/>
            <w:tcBorders>
              <w:bottom w:val="nil"/>
            </w:tcBorders>
            <w:vAlign w:val="top"/>
          </w:tcPr>
          <w:p w14:paraId="5B7DDEC9">
            <w:pPr>
              <w:spacing w:line="273" w:lineRule="auto"/>
              <w:rPr>
                <w:rFonts w:ascii="Arial"/>
                <w:sz w:val="21"/>
              </w:rPr>
            </w:pPr>
          </w:p>
          <w:p w14:paraId="57C90585">
            <w:pPr>
              <w:spacing w:line="274" w:lineRule="auto"/>
              <w:rPr>
                <w:rFonts w:ascii="Arial"/>
                <w:sz w:val="21"/>
              </w:rPr>
            </w:pPr>
          </w:p>
          <w:p w14:paraId="7CCA2631">
            <w:pPr>
              <w:pStyle w:val="6"/>
              <w:spacing w:before="65" w:line="216" w:lineRule="auto"/>
              <w:ind w:left="55"/>
            </w:pPr>
            <w:r>
              <w:rPr>
                <w:spacing w:val="8"/>
              </w:rPr>
              <w:t>设立五大专业委员会（规划、</w:t>
            </w:r>
          </w:p>
        </w:tc>
        <w:tc>
          <w:tcPr>
            <w:tcW w:w="2640" w:type="dxa"/>
            <w:tcBorders>
              <w:bottom w:val="nil"/>
            </w:tcBorders>
            <w:vAlign w:val="top"/>
          </w:tcPr>
          <w:p w14:paraId="6286E325">
            <w:pPr>
              <w:spacing w:line="273" w:lineRule="auto"/>
              <w:rPr>
                <w:rFonts w:ascii="Arial"/>
                <w:sz w:val="21"/>
              </w:rPr>
            </w:pPr>
          </w:p>
          <w:p w14:paraId="0C72629A">
            <w:pPr>
              <w:spacing w:line="274" w:lineRule="auto"/>
              <w:rPr>
                <w:rFonts w:ascii="Arial"/>
                <w:sz w:val="21"/>
              </w:rPr>
            </w:pPr>
          </w:p>
          <w:p w14:paraId="21EED557">
            <w:pPr>
              <w:pStyle w:val="6"/>
              <w:spacing w:before="65" w:line="216" w:lineRule="auto"/>
              <w:ind w:left="64"/>
            </w:pPr>
            <w:r>
              <w:rPr>
                <w:spacing w:val="9"/>
              </w:rPr>
              <w:t>长春协会资金保障不足，党</w:t>
            </w:r>
          </w:p>
        </w:tc>
      </w:tr>
      <w:tr w14:paraId="4CC67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615" w:type="dxa"/>
            <w:tcBorders>
              <w:top w:val="nil"/>
              <w:bottom w:val="nil"/>
            </w:tcBorders>
            <w:vAlign w:val="top"/>
          </w:tcPr>
          <w:p w14:paraId="3BD9343E">
            <w:pPr>
              <w:pStyle w:val="6"/>
              <w:spacing w:before="36" w:line="233" w:lineRule="auto"/>
              <w:ind w:left="107"/>
            </w:pPr>
            <w:r>
              <w:rPr>
                <w:spacing w:val="2"/>
              </w:rPr>
              <w:t>治理</w:t>
            </w:r>
          </w:p>
        </w:tc>
        <w:tc>
          <w:tcPr>
            <w:tcW w:w="2265" w:type="dxa"/>
            <w:tcBorders>
              <w:top w:val="nil"/>
              <w:bottom w:val="nil"/>
            </w:tcBorders>
            <w:vAlign w:val="top"/>
          </w:tcPr>
          <w:p w14:paraId="154C184C">
            <w:pPr>
              <w:spacing w:line="248" w:lineRule="auto"/>
              <w:rPr>
                <w:rFonts w:ascii="Arial"/>
                <w:sz w:val="21"/>
              </w:rPr>
            </w:pPr>
          </w:p>
          <w:p w14:paraId="2035DCCF">
            <w:pPr>
              <w:pStyle w:val="6"/>
              <w:spacing w:before="65" w:line="214" w:lineRule="auto"/>
              <w:jc w:val="right"/>
            </w:pPr>
            <w:r>
              <w:rPr>
                <w:spacing w:val="-1"/>
              </w:rPr>
              <w:t>亿元账户+3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亿元备用金，</w:t>
            </w:r>
          </w:p>
        </w:tc>
        <w:tc>
          <w:tcPr>
            <w:tcW w:w="2820" w:type="dxa"/>
            <w:tcBorders>
              <w:top w:val="nil"/>
              <w:bottom w:val="nil"/>
            </w:tcBorders>
            <w:vAlign w:val="top"/>
          </w:tcPr>
          <w:p w14:paraId="5E100F1E">
            <w:pPr>
              <w:spacing w:line="248" w:lineRule="auto"/>
              <w:rPr>
                <w:rFonts w:ascii="Arial"/>
                <w:sz w:val="21"/>
              </w:rPr>
            </w:pPr>
          </w:p>
          <w:p w14:paraId="7E9D8C35">
            <w:pPr>
              <w:pStyle w:val="6"/>
              <w:spacing w:before="65" w:line="214" w:lineRule="auto"/>
              <w:ind w:left="52"/>
            </w:pPr>
            <w:r>
              <w:rPr>
                <w:spacing w:val="8"/>
              </w:rPr>
              <w:t>专家、行业发展等</w:t>
            </w:r>
            <w:r>
              <w:rPr>
                <w:spacing w:val="15"/>
              </w:rPr>
              <w:t>），</w:t>
            </w:r>
            <w:r>
              <w:rPr>
                <w:spacing w:val="8"/>
              </w:rPr>
              <w:t>但无专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top"/>
          </w:tcPr>
          <w:p w14:paraId="75434152">
            <w:pPr>
              <w:spacing w:line="248" w:lineRule="auto"/>
              <w:rPr>
                <w:rFonts w:ascii="Arial"/>
                <w:sz w:val="21"/>
              </w:rPr>
            </w:pPr>
          </w:p>
          <w:p w14:paraId="690387AB">
            <w:pPr>
              <w:pStyle w:val="6"/>
              <w:spacing w:before="65" w:line="214" w:lineRule="auto"/>
              <w:ind w:left="66"/>
            </w:pPr>
            <w:r>
              <w:rPr>
                <w:spacing w:val="8"/>
              </w:rPr>
              <w:t>建与业务融合度低，制度执</w:t>
            </w:r>
          </w:p>
        </w:tc>
      </w:tr>
      <w:tr w14:paraId="5F3E8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15" w:type="dxa"/>
            <w:tcBorders>
              <w:top w:val="nil"/>
              <w:bottom w:val="nil"/>
            </w:tcBorders>
            <w:vAlign w:val="top"/>
          </w:tcPr>
          <w:p w14:paraId="52D89CAB">
            <w:pPr>
              <w:pStyle w:val="6"/>
              <w:spacing w:before="39" w:line="229" w:lineRule="auto"/>
              <w:ind w:left="106"/>
            </w:pPr>
            <w:r>
              <w:rPr>
                <w:spacing w:val="2"/>
              </w:rPr>
              <w:t>与资</w:t>
            </w:r>
          </w:p>
        </w:tc>
        <w:tc>
          <w:tcPr>
            <w:tcW w:w="2265" w:type="dxa"/>
            <w:tcBorders>
              <w:top w:val="nil"/>
              <w:bottom w:val="nil"/>
            </w:tcBorders>
            <w:vAlign w:val="top"/>
          </w:tcPr>
          <w:p w14:paraId="7F75A4C6">
            <w:pPr>
              <w:spacing w:line="253" w:lineRule="auto"/>
              <w:rPr>
                <w:rFonts w:ascii="Arial"/>
                <w:sz w:val="21"/>
              </w:rPr>
            </w:pPr>
          </w:p>
          <w:p w14:paraId="28DC2658">
            <w:pPr>
              <w:pStyle w:val="6"/>
              <w:spacing w:before="65" w:line="212" w:lineRule="auto"/>
              <w:ind w:left="483"/>
            </w:pPr>
            <w:r>
              <w:rPr>
                <w:spacing w:val="5"/>
              </w:rPr>
              <w:t>24</w:t>
            </w:r>
            <w:r>
              <w:rPr>
                <w:spacing w:val="-37"/>
              </w:rPr>
              <w:t xml:space="preserve"> </w:t>
            </w:r>
            <w:r>
              <w:rPr>
                <w:spacing w:val="5"/>
              </w:rPr>
              <w:t>项内部制度</w:t>
            </w:r>
          </w:p>
        </w:tc>
        <w:tc>
          <w:tcPr>
            <w:tcW w:w="2820" w:type="dxa"/>
            <w:tcBorders>
              <w:top w:val="nil"/>
              <w:bottom w:val="nil"/>
            </w:tcBorders>
            <w:vAlign w:val="top"/>
          </w:tcPr>
          <w:p w14:paraId="3EA51E73">
            <w:pPr>
              <w:spacing w:line="253" w:lineRule="auto"/>
              <w:rPr>
                <w:rFonts w:ascii="Arial"/>
                <w:sz w:val="21"/>
              </w:rPr>
            </w:pPr>
          </w:p>
          <w:p w14:paraId="7A072F68">
            <w:pPr>
              <w:pStyle w:val="6"/>
              <w:spacing w:before="65" w:line="212" w:lineRule="auto"/>
              <w:ind w:left="158"/>
            </w:pPr>
            <w:r>
              <w:rPr>
                <w:spacing w:val="8"/>
              </w:rPr>
              <w:t>项备用金，制度体系待完善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top"/>
          </w:tcPr>
          <w:p w14:paraId="6EE38A2C">
            <w:pPr>
              <w:spacing w:line="253" w:lineRule="auto"/>
              <w:rPr>
                <w:rFonts w:ascii="Arial"/>
                <w:sz w:val="21"/>
              </w:rPr>
            </w:pPr>
          </w:p>
          <w:p w14:paraId="6E1B36C0">
            <w:pPr>
              <w:pStyle w:val="6"/>
              <w:spacing w:before="65" w:line="212" w:lineRule="auto"/>
              <w:ind w:left="1012"/>
            </w:pPr>
            <w:r>
              <w:rPr>
                <w:spacing w:val="5"/>
              </w:rPr>
              <w:t>行力弱</w:t>
            </w:r>
          </w:p>
        </w:tc>
      </w:tr>
      <w:tr w14:paraId="34ADE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15" w:type="dxa"/>
            <w:tcBorders>
              <w:top w:val="nil"/>
            </w:tcBorders>
            <w:vAlign w:val="top"/>
          </w:tcPr>
          <w:p w14:paraId="4FF96E3F">
            <w:pPr>
              <w:pStyle w:val="6"/>
              <w:spacing w:before="38" w:line="229" w:lineRule="auto"/>
              <w:ind w:left="209"/>
            </w:pPr>
            <w:r>
              <w:t>金</w:t>
            </w:r>
          </w:p>
        </w:tc>
        <w:tc>
          <w:tcPr>
            <w:tcW w:w="2265" w:type="dxa"/>
            <w:tcBorders>
              <w:top w:val="nil"/>
            </w:tcBorders>
            <w:vAlign w:val="top"/>
          </w:tcPr>
          <w:p w14:paraId="6AAAA0FD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tcBorders>
              <w:top w:val="nil"/>
            </w:tcBorders>
            <w:vAlign w:val="top"/>
          </w:tcPr>
          <w:p w14:paraId="3144EB85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nil"/>
            </w:tcBorders>
            <w:vAlign w:val="top"/>
          </w:tcPr>
          <w:p w14:paraId="453702EB">
            <w:pPr>
              <w:rPr>
                <w:rFonts w:ascii="Arial"/>
                <w:sz w:val="21"/>
              </w:rPr>
            </w:pPr>
          </w:p>
        </w:tc>
      </w:tr>
      <w:tr w14:paraId="2A2B7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4" w:hRule="atLeast"/>
        </w:trPr>
        <w:tc>
          <w:tcPr>
            <w:tcW w:w="615" w:type="dxa"/>
            <w:vAlign w:val="top"/>
          </w:tcPr>
          <w:p w14:paraId="29CD950A">
            <w:pPr>
              <w:spacing w:line="269" w:lineRule="auto"/>
              <w:rPr>
                <w:rFonts w:ascii="Arial"/>
                <w:sz w:val="21"/>
              </w:rPr>
            </w:pPr>
          </w:p>
          <w:p w14:paraId="3115C036">
            <w:pPr>
              <w:pStyle w:val="6"/>
              <w:spacing w:before="65" w:line="228" w:lineRule="auto"/>
              <w:ind w:left="103"/>
            </w:pPr>
            <w:r>
              <w:rPr>
                <w:spacing w:val="3"/>
              </w:rPr>
              <w:t>数字</w:t>
            </w:r>
          </w:p>
          <w:p w14:paraId="649C7466">
            <w:pPr>
              <w:spacing w:line="248" w:lineRule="auto"/>
              <w:rPr>
                <w:rFonts w:ascii="Arial"/>
                <w:sz w:val="21"/>
              </w:rPr>
            </w:pPr>
          </w:p>
          <w:p w14:paraId="3C18EAA9">
            <w:pPr>
              <w:pStyle w:val="6"/>
              <w:spacing w:before="65" w:line="228" w:lineRule="auto"/>
              <w:ind w:left="102"/>
            </w:pPr>
            <w:r>
              <w:rPr>
                <w:spacing w:val="4"/>
              </w:rPr>
              <w:t>化转</w:t>
            </w:r>
          </w:p>
          <w:p w14:paraId="10BA67D5">
            <w:pPr>
              <w:spacing w:line="245" w:lineRule="auto"/>
              <w:rPr>
                <w:rFonts w:ascii="Arial"/>
                <w:sz w:val="21"/>
              </w:rPr>
            </w:pPr>
          </w:p>
          <w:p w14:paraId="5749043D">
            <w:pPr>
              <w:pStyle w:val="6"/>
              <w:spacing w:before="65" w:line="228" w:lineRule="auto"/>
              <w:ind w:left="214"/>
            </w:pPr>
            <w:r>
              <w:t>型</w:t>
            </w:r>
          </w:p>
        </w:tc>
        <w:tc>
          <w:tcPr>
            <w:tcW w:w="2265" w:type="dxa"/>
            <w:vAlign w:val="top"/>
          </w:tcPr>
          <w:p w14:paraId="24834FC6">
            <w:pPr>
              <w:spacing w:line="270" w:lineRule="auto"/>
              <w:rPr>
                <w:rFonts w:ascii="Arial"/>
                <w:sz w:val="21"/>
              </w:rPr>
            </w:pPr>
          </w:p>
          <w:p w14:paraId="5BA783D3">
            <w:pPr>
              <w:pStyle w:val="6"/>
              <w:spacing w:before="65" w:line="226" w:lineRule="auto"/>
              <w:ind w:left="20"/>
            </w:pPr>
            <w:r>
              <w:rPr>
                <w:spacing w:val="2"/>
              </w:rPr>
              <w:t>有专属数字化标准，评价</w:t>
            </w:r>
          </w:p>
          <w:p w14:paraId="400F8F01">
            <w:pPr>
              <w:spacing w:line="249" w:lineRule="auto"/>
              <w:rPr>
                <w:rFonts w:ascii="Arial"/>
                <w:sz w:val="21"/>
              </w:rPr>
            </w:pPr>
          </w:p>
          <w:p w14:paraId="7A7EE844">
            <w:pPr>
              <w:pStyle w:val="6"/>
              <w:spacing w:before="65" w:line="227" w:lineRule="auto"/>
              <w:ind w:left="24"/>
            </w:pPr>
            <w:r>
              <w:rPr>
                <w:spacing w:val="2"/>
              </w:rPr>
              <w:t>与信用挂钩，巡检机器人</w:t>
            </w:r>
          </w:p>
          <w:p w14:paraId="02699B81">
            <w:pPr>
              <w:spacing w:line="246" w:lineRule="auto"/>
              <w:rPr>
                <w:rFonts w:ascii="Arial"/>
                <w:sz w:val="21"/>
              </w:rPr>
            </w:pPr>
          </w:p>
          <w:p w14:paraId="02A6BAB4">
            <w:pPr>
              <w:pStyle w:val="6"/>
              <w:spacing w:before="65" w:line="228" w:lineRule="auto"/>
              <w:ind w:left="614"/>
            </w:pPr>
            <w:r>
              <w:rPr>
                <w:spacing w:val="7"/>
              </w:rPr>
              <w:t>等技术落地</w:t>
            </w:r>
          </w:p>
        </w:tc>
        <w:tc>
          <w:tcPr>
            <w:tcW w:w="2820" w:type="dxa"/>
            <w:vAlign w:val="top"/>
          </w:tcPr>
          <w:p w14:paraId="1FB238F6">
            <w:pPr>
              <w:spacing w:line="269" w:lineRule="auto"/>
              <w:rPr>
                <w:rFonts w:ascii="Arial"/>
                <w:sz w:val="21"/>
              </w:rPr>
            </w:pPr>
          </w:p>
          <w:p w14:paraId="1BF562B7">
            <w:pPr>
              <w:pStyle w:val="6"/>
              <w:spacing w:before="65" w:line="228" w:lineRule="auto"/>
              <w:ind w:left="153"/>
            </w:pPr>
            <w:r>
              <w:rPr>
                <w:spacing w:val="9"/>
              </w:rPr>
              <w:t>仅开展智慧化发展初步探索</w:t>
            </w:r>
          </w:p>
          <w:p w14:paraId="35CF2DA2">
            <w:pPr>
              <w:spacing w:line="248" w:lineRule="auto"/>
              <w:rPr>
                <w:rFonts w:ascii="Arial"/>
                <w:sz w:val="21"/>
              </w:rPr>
            </w:pPr>
          </w:p>
          <w:p w14:paraId="7C58AFB8">
            <w:pPr>
              <w:pStyle w:val="6"/>
              <w:spacing w:before="65" w:line="227" w:lineRule="auto"/>
              <w:jc w:val="right"/>
            </w:pPr>
            <w:r>
              <w:t>（如专题会议</w:t>
            </w:r>
            <w:r>
              <w:rPr>
                <w:spacing w:val="-9"/>
              </w:rPr>
              <w:t>），</w:t>
            </w:r>
            <w:r>
              <w:t>无统一标准，</w:t>
            </w:r>
          </w:p>
          <w:p w14:paraId="2414335B">
            <w:pPr>
              <w:spacing w:line="246" w:lineRule="auto"/>
              <w:rPr>
                <w:rFonts w:ascii="Arial"/>
                <w:sz w:val="21"/>
              </w:rPr>
            </w:pPr>
          </w:p>
          <w:p w14:paraId="39C4EE9A">
            <w:pPr>
              <w:pStyle w:val="6"/>
              <w:spacing w:before="65" w:line="228" w:lineRule="auto"/>
              <w:ind w:left="681"/>
            </w:pPr>
            <w:r>
              <w:rPr>
                <w:spacing w:val="8"/>
              </w:rPr>
              <w:t>技术应用碎片化</w:t>
            </w:r>
          </w:p>
        </w:tc>
        <w:tc>
          <w:tcPr>
            <w:tcW w:w="2640" w:type="dxa"/>
            <w:vAlign w:val="top"/>
          </w:tcPr>
          <w:p w14:paraId="3462F4C8">
            <w:pPr>
              <w:spacing w:line="269" w:lineRule="auto"/>
              <w:rPr>
                <w:rFonts w:ascii="Arial"/>
                <w:sz w:val="21"/>
              </w:rPr>
            </w:pPr>
          </w:p>
          <w:p w14:paraId="24AB870C">
            <w:pPr>
              <w:pStyle w:val="6"/>
              <w:spacing w:before="65" w:line="421" w:lineRule="auto"/>
              <w:ind w:left="66" w:right="112" w:hanging="2"/>
              <w:jc w:val="right"/>
            </w:pPr>
            <w:r>
              <w:rPr>
                <w:spacing w:val="4"/>
              </w:rPr>
              <w:t>长春缺乏数字化顶层设计，企业转型无方向、无激励，</w:t>
            </w:r>
            <w:r>
              <w:rPr>
                <w:spacing w:val="7"/>
              </w:rPr>
              <w:t>中小微企业转型能力不足</w:t>
            </w:r>
          </w:p>
        </w:tc>
      </w:tr>
      <w:tr w14:paraId="5D626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4" w:hRule="atLeast"/>
        </w:trPr>
        <w:tc>
          <w:tcPr>
            <w:tcW w:w="615" w:type="dxa"/>
            <w:vAlign w:val="top"/>
          </w:tcPr>
          <w:p w14:paraId="0CEED0DC">
            <w:pPr>
              <w:spacing w:line="271" w:lineRule="auto"/>
              <w:rPr>
                <w:rFonts w:ascii="Arial"/>
                <w:sz w:val="21"/>
              </w:rPr>
            </w:pPr>
          </w:p>
          <w:p w14:paraId="553EE6A9">
            <w:pPr>
              <w:pStyle w:val="6"/>
              <w:spacing w:before="65" w:line="236" w:lineRule="auto"/>
              <w:ind w:left="102"/>
            </w:pPr>
            <w:r>
              <w:rPr>
                <w:spacing w:val="4"/>
              </w:rPr>
              <w:t>全过</w:t>
            </w:r>
          </w:p>
          <w:p w14:paraId="501DE52B">
            <w:pPr>
              <w:pStyle w:val="6"/>
              <w:spacing w:before="304" w:line="228" w:lineRule="auto"/>
              <w:ind w:left="101"/>
            </w:pPr>
            <w:r>
              <w:rPr>
                <w:spacing w:val="5"/>
              </w:rPr>
              <w:t>程咨</w:t>
            </w:r>
          </w:p>
          <w:p w14:paraId="22D16DB6">
            <w:pPr>
              <w:spacing w:line="247" w:lineRule="auto"/>
              <w:rPr>
                <w:rFonts w:ascii="Arial"/>
                <w:sz w:val="21"/>
              </w:rPr>
            </w:pPr>
          </w:p>
          <w:p w14:paraId="20E97279">
            <w:pPr>
              <w:pStyle w:val="6"/>
              <w:spacing w:before="65" w:line="226" w:lineRule="auto"/>
              <w:ind w:left="207"/>
            </w:pPr>
            <w:r>
              <w:t>询</w:t>
            </w:r>
          </w:p>
        </w:tc>
        <w:tc>
          <w:tcPr>
            <w:tcW w:w="2265" w:type="dxa"/>
            <w:vAlign w:val="top"/>
          </w:tcPr>
          <w:p w14:paraId="1D051828">
            <w:pPr>
              <w:spacing w:line="271" w:lineRule="auto"/>
              <w:rPr>
                <w:rFonts w:ascii="Arial"/>
                <w:sz w:val="21"/>
              </w:rPr>
            </w:pPr>
          </w:p>
          <w:p w14:paraId="6DAB827B">
            <w:pPr>
              <w:pStyle w:val="6"/>
              <w:spacing w:before="65" w:line="227" w:lineRule="auto"/>
              <w:ind w:left="20"/>
            </w:pPr>
            <w:r>
              <w:rPr>
                <w:spacing w:val="2"/>
              </w:rPr>
              <w:t>有地方承接指引，政府项</w:t>
            </w:r>
          </w:p>
          <w:p w14:paraId="5900B80C">
            <w:pPr>
              <w:spacing w:line="247" w:lineRule="auto"/>
              <w:rPr>
                <w:rFonts w:ascii="Arial"/>
                <w:sz w:val="21"/>
              </w:rPr>
            </w:pPr>
          </w:p>
          <w:p w14:paraId="00E070A7">
            <w:pPr>
              <w:pStyle w:val="6"/>
              <w:spacing w:before="65" w:line="228" w:lineRule="auto"/>
              <w:ind w:left="59"/>
            </w:pPr>
            <w:r>
              <w:rPr>
                <w:spacing w:val="-2"/>
              </w:rPr>
              <w:t>目试点打包招标，监理费</w:t>
            </w:r>
          </w:p>
          <w:p w14:paraId="2F296DD0">
            <w:pPr>
              <w:spacing w:line="247" w:lineRule="auto"/>
              <w:rPr>
                <w:rFonts w:ascii="Arial"/>
                <w:sz w:val="21"/>
              </w:rPr>
            </w:pPr>
          </w:p>
          <w:p w14:paraId="1CFD906B">
            <w:pPr>
              <w:pStyle w:val="6"/>
              <w:spacing w:before="65" w:line="226" w:lineRule="auto"/>
              <w:ind w:left="402"/>
            </w:pPr>
            <w:r>
              <w:rPr>
                <w:spacing w:val="8"/>
              </w:rPr>
              <w:t>监管账户推进中</w:t>
            </w:r>
          </w:p>
        </w:tc>
        <w:tc>
          <w:tcPr>
            <w:tcW w:w="2820" w:type="dxa"/>
            <w:vAlign w:val="top"/>
          </w:tcPr>
          <w:p w14:paraId="22E45CF0">
            <w:pPr>
              <w:spacing w:line="271" w:lineRule="auto"/>
              <w:rPr>
                <w:rFonts w:ascii="Arial"/>
                <w:sz w:val="21"/>
              </w:rPr>
            </w:pPr>
          </w:p>
          <w:p w14:paraId="64587739">
            <w:pPr>
              <w:pStyle w:val="6"/>
              <w:spacing w:before="65" w:line="228" w:lineRule="auto"/>
              <w:ind w:left="51"/>
            </w:pPr>
            <w:r>
              <w:rPr>
                <w:spacing w:val="8"/>
              </w:rPr>
              <w:t>认知模糊，无地方政策支持，</w:t>
            </w:r>
          </w:p>
          <w:p w14:paraId="16F2C42F">
            <w:pPr>
              <w:spacing w:line="245" w:lineRule="auto"/>
              <w:rPr>
                <w:rFonts w:ascii="Arial"/>
                <w:sz w:val="21"/>
              </w:rPr>
            </w:pPr>
          </w:p>
          <w:p w14:paraId="4A370207">
            <w:pPr>
              <w:pStyle w:val="6"/>
              <w:spacing w:before="65" w:line="228" w:lineRule="auto"/>
              <w:ind w:left="55"/>
            </w:pPr>
            <w:r>
              <w:rPr>
                <w:spacing w:val="9"/>
              </w:rPr>
              <w:t>企业缺乏全链条服务能力，项</w:t>
            </w:r>
          </w:p>
          <w:p w14:paraId="17ED9843">
            <w:pPr>
              <w:spacing w:line="248" w:lineRule="auto"/>
              <w:rPr>
                <w:rFonts w:ascii="Arial"/>
                <w:sz w:val="21"/>
              </w:rPr>
            </w:pPr>
          </w:p>
          <w:p w14:paraId="731ED903">
            <w:pPr>
              <w:pStyle w:val="6"/>
              <w:spacing w:before="65" w:line="226" w:lineRule="auto"/>
              <w:ind w:left="826"/>
            </w:pPr>
            <w:r>
              <w:rPr>
                <w:spacing w:val="1"/>
              </w:rPr>
              <w:t>目实践机会少</w:t>
            </w:r>
          </w:p>
        </w:tc>
        <w:tc>
          <w:tcPr>
            <w:tcW w:w="2640" w:type="dxa"/>
            <w:vAlign w:val="top"/>
          </w:tcPr>
          <w:p w14:paraId="2BD96624">
            <w:pPr>
              <w:spacing w:line="271" w:lineRule="auto"/>
              <w:rPr>
                <w:rFonts w:ascii="Arial"/>
                <w:sz w:val="21"/>
              </w:rPr>
            </w:pPr>
          </w:p>
          <w:p w14:paraId="73F0A352">
            <w:pPr>
              <w:pStyle w:val="6"/>
              <w:spacing w:before="65" w:line="228" w:lineRule="auto"/>
              <w:ind w:left="119"/>
            </w:pPr>
            <w:r>
              <w:rPr>
                <w:spacing w:val="8"/>
              </w:rPr>
              <w:t>长春政策落地 “最后一公</w:t>
            </w:r>
          </w:p>
          <w:p w14:paraId="1CBC1FBA">
            <w:pPr>
              <w:spacing w:line="245" w:lineRule="auto"/>
              <w:rPr>
                <w:rFonts w:ascii="Arial"/>
                <w:sz w:val="21"/>
              </w:rPr>
            </w:pPr>
          </w:p>
          <w:p w14:paraId="2B227C18">
            <w:pPr>
              <w:pStyle w:val="6"/>
              <w:spacing w:before="65" w:line="228" w:lineRule="auto"/>
              <w:jc w:val="right"/>
            </w:pPr>
            <w:r>
              <w:rPr>
                <w:spacing w:val="-4"/>
              </w:rPr>
              <w:t>里</w:t>
            </w:r>
            <w:r>
              <w:rPr>
                <w:spacing w:val="-72"/>
              </w:rPr>
              <w:t xml:space="preserve"> </w:t>
            </w:r>
            <w:r>
              <w:rPr>
                <w:spacing w:val="-4"/>
              </w:rPr>
              <w:t>”</w:t>
            </w:r>
            <w:r>
              <w:rPr>
                <w:spacing w:val="-68"/>
              </w:rPr>
              <w:t xml:space="preserve"> </w:t>
            </w:r>
            <w:r>
              <w:rPr>
                <w:spacing w:val="-4"/>
              </w:rPr>
              <w:t>受阻，企业转型无路径、</w:t>
            </w:r>
          </w:p>
          <w:p w14:paraId="0D97B97C">
            <w:pPr>
              <w:spacing w:line="248" w:lineRule="auto"/>
              <w:rPr>
                <w:rFonts w:ascii="Arial"/>
                <w:sz w:val="21"/>
              </w:rPr>
            </w:pPr>
          </w:p>
          <w:p w14:paraId="66440BD7">
            <w:pPr>
              <w:pStyle w:val="6"/>
              <w:spacing w:before="65" w:line="226" w:lineRule="auto"/>
              <w:ind w:left="382"/>
            </w:pPr>
            <w:r>
              <w:rPr>
                <w:spacing w:val="8"/>
              </w:rPr>
              <w:t>无资源，人才缺口大</w:t>
            </w:r>
          </w:p>
        </w:tc>
      </w:tr>
      <w:tr w14:paraId="67183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615" w:type="dxa"/>
            <w:tcBorders>
              <w:bottom w:val="nil"/>
            </w:tcBorders>
            <w:vAlign w:val="top"/>
          </w:tcPr>
          <w:p w14:paraId="0420CD1C">
            <w:pPr>
              <w:spacing w:line="275" w:lineRule="auto"/>
              <w:rPr>
                <w:rFonts w:ascii="Arial"/>
                <w:sz w:val="21"/>
              </w:rPr>
            </w:pPr>
          </w:p>
          <w:p w14:paraId="2D74192E">
            <w:pPr>
              <w:spacing w:line="275" w:lineRule="auto"/>
              <w:rPr>
                <w:rFonts w:ascii="Arial"/>
                <w:sz w:val="21"/>
              </w:rPr>
            </w:pPr>
          </w:p>
          <w:p w14:paraId="37EEB9DA">
            <w:pPr>
              <w:pStyle w:val="6"/>
              <w:spacing w:before="65" w:line="228" w:lineRule="auto"/>
              <w:ind w:left="105"/>
            </w:pPr>
            <w:r>
              <w:rPr>
                <w:spacing w:val="3"/>
              </w:rPr>
              <w:t>行业</w:t>
            </w:r>
          </w:p>
        </w:tc>
        <w:tc>
          <w:tcPr>
            <w:tcW w:w="2265" w:type="dxa"/>
            <w:tcBorders>
              <w:bottom w:val="nil"/>
            </w:tcBorders>
            <w:vAlign w:val="top"/>
          </w:tcPr>
          <w:p w14:paraId="240811C1">
            <w:pPr>
              <w:spacing w:line="274" w:lineRule="auto"/>
              <w:rPr>
                <w:rFonts w:ascii="Arial"/>
                <w:sz w:val="21"/>
              </w:rPr>
            </w:pPr>
          </w:p>
          <w:p w14:paraId="406B3352">
            <w:pPr>
              <w:spacing w:line="275" w:lineRule="auto"/>
              <w:rPr>
                <w:rFonts w:ascii="Arial"/>
                <w:sz w:val="21"/>
              </w:rPr>
            </w:pPr>
          </w:p>
          <w:p w14:paraId="369E4ADC">
            <w:pPr>
              <w:pStyle w:val="6"/>
              <w:spacing w:before="65" w:line="228" w:lineRule="auto"/>
              <w:ind w:left="20"/>
            </w:pPr>
            <w:r>
              <w:rPr>
                <w:spacing w:val="2"/>
              </w:rPr>
              <w:t>有最低工资指引、星级评</w:t>
            </w:r>
          </w:p>
        </w:tc>
        <w:tc>
          <w:tcPr>
            <w:tcW w:w="2820" w:type="dxa"/>
            <w:tcBorders>
              <w:bottom w:val="nil"/>
            </w:tcBorders>
            <w:vAlign w:val="top"/>
          </w:tcPr>
          <w:p w14:paraId="6FB21282">
            <w:pPr>
              <w:spacing w:line="274" w:lineRule="auto"/>
              <w:rPr>
                <w:rFonts w:ascii="Arial"/>
                <w:sz w:val="21"/>
              </w:rPr>
            </w:pPr>
          </w:p>
          <w:p w14:paraId="5F203291">
            <w:pPr>
              <w:spacing w:line="275" w:lineRule="auto"/>
              <w:rPr>
                <w:rFonts w:ascii="Arial"/>
                <w:sz w:val="21"/>
              </w:rPr>
            </w:pPr>
          </w:p>
          <w:p w14:paraId="0321EF3C">
            <w:pPr>
              <w:pStyle w:val="6"/>
              <w:spacing w:before="65" w:line="228" w:lineRule="auto"/>
              <w:ind w:left="53"/>
            </w:pPr>
            <w:r>
              <w:rPr>
                <w:spacing w:val="9"/>
              </w:rPr>
              <w:t>无明确薪酬标准，评优活动受</w:t>
            </w:r>
          </w:p>
        </w:tc>
        <w:tc>
          <w:tcPr>
            <w:tcW w:w="2640" w:type="dxa"/>
            <w:tcBorders>
              <w:bottom w:val="nil"/>
            </w:tcBorders>
            <w:vAlign w:val="top"/>
          </w:tcPr>
          <w:p w14:paraId="01627016">
            <w:pPr>
              <w:spacing w:line="273" w:lineRule="auto"/>
              <w:rPr>
                <w:rFonts w:ascii="Arial"/>
                <w:sz w:val="21"/>
              </w:rPr>
            </w:pPr>
          </w:p>
          <w:p w14:paraId="0D5324B7">
            <w:pPr>
              <w:pStyle w:val="6"/>
              <w:spacing w:before="65" w:line="363" w:lineRule="auto"/>
              <w:ind w:left="65" w:right="61" w:hanging="1"/>
            </w:pPr>
            <w:r>
              <w:rPr>
                <w:spacing w:val="9"/>
              </w:rPr>
              <w:t>长春行业自律缺乏硬约束，</w:t>
            </w:r>
            <w:r>
              <w:rPr>
                <w:spacing w:val="8"/>
              </w:rPr>
              <w:t>从业人员权益保障不足，市</w:t>
            </w:r>
          </w:p>
        </w:tc>
      </w:tr>
      <w:tr w14:paraId="3CB28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15" w:type="dxa"/>
            <w:tcBorders>
              <w:top w:val="nil"/>
            </w:tcBorders>
            <w:vAlign w:val="top"/>
          </w:tcPr>
          <w:p w14:paraId="5DD5C885">
            <w:pPr>
              <w:pStyle w:val="6"/>
              <w:spacing w:before="42" w:line="228" w:lineRule="auto"/>
              <w:ind w:left="136"/>
            </w:pPr>
            <w:r>
              <w:rPr>
                <w:spacing w:val="-13"/>
              </w:rPr>
              <w:t>自律</w:t>
            </w:r>
          </w:p>
        </w:tc>
        <w:tc>
          <w:tcPr>
            <w:tcW w:w="2265" w:type="dxa"/>
            <w:tcBorders>
              <w:top w:val="nil"/>
            </w:tcBorders>
            <w:vAlign w:val="top"/>
          </w:tcPr>
          <w:p w14:paraId="1B0EECF9">
            <w:pPr>
              <w:pStyle w:val="6"/>
              <w:spacing w:before="43" w:line="226" w:lineRule="auto"/>
              <w:ind w:left="87"/>
            </w:pPr>
            <w:r>
              <w:rPr>
                <w:spacing w:val="8"/>
              </w:rPr>
              <w:t>价机制，投诉处理规范</w:t>
            </w:r>
          </w:p>
        </w:tc>
        <w:tc>
          <w:tcPr>
            <w:tcW w:w="2820" w:type="dxa"/>
            <w:tcBorders>
              <w:top w:val="nil"/>
            </w:tcBorders>
            <w:vAlign w:val="top"/>
          </w:tcPr>
          <w:p w14:paraId="48845D7A">
            <w:pPr>
              <w:pStyle w:val="6"/>
              <w:spacing w:before="42" w:line="228" w:lineRule="auto"/>
              <w:ind w:left="701"/>
            </w:pPr>
            <w:r>
              <w:rPr>
                <w:spacing w:val="5"/>
              </w:rPr>
              <w:t>民政备案限制等</w:t>
            </w:r>
          </w:p>
        </w:tc>
        <w:tc>
          <w:tcPr>
            <w:tcW w:w="2640" w:type="dxa"/>
            <w:tcBorders>
              <w:top w:val="nil"/>
            </w:tcBorders>
            <w:vAlign w:val="top"/>
          </w:tcPr>
          <w:p w14:paraId="08320474">
            <w:pPr>
              <w:spacing w:line="255" w:lineRule="auto"/>
              <w:rPr>
                <w:rFonts w:ascii="Arial"/>
                <w:sz w:val="21"/>
              </w:rPr>
            </w:pPr>
          </w:p>
          <w:p w14:paraId="5A0753A2">
            <w:pPr>
              <w:pStyle w:val="6"/>
              <w:spacing w:before="65" w:line="228" w:lineRule="auto"/>
              <w:ind w:left="694"/>
            </w:pPr>
            <w:r>
              <w:rPr>
                <w:spacing w:val="8"/>
              </w:rPr>
              <w:t>场秩序易混乱</w:t>
            </w:r>
          </w:p>
        </w:tc>
      </w:tr>
    </w:tbl>
    <w:p w14:paraId="5332963E">
      <w:pPr>
        <w:pStyle w:val="2"/>
        <w:spacing w:before="171" w:line="220" w:lineRule="auto"/>
        <w:ind w:left="616"/>
        <w:outlineLvl w:val="1"/>
      </w:pPr>
      <w:r>
        <w:rPr>
          <w:b/>
          <w:bCs/>
          <w:spacing w:val="-5"/>
        </w:rPr>
        <w:t>四、对长春市监理行业发展的建议</w:t>
      </w:r>
    </w:p>
    <w:p w14:paraId="2ECEC004">
      <w:pPr>
        <w:pStyle w:val="2"/>
        <w:spacing w:before="291" w:line="411" w:lineRule="auto"/>
        <w:ind w:left="31" w:firstLine="564"/>
      </w:pPr>
      <w:r>
        <w:rPr>
          <w:spacing w:val="-10"/>
        </w:rPr>
        <w:t>结合济南经验与长春实际，从“制度完善、技术升级、转</w:t>
      </w:r>
      <w:r>
        <w:rPr>
          <w:spacing w:val="-11"/>
        </w:rPr>
        <w:t>型突破、</w:t>
      </w:r>
      <w:r>
        <w:rPr>
          <w:spacing w:val="-3"/>
        </w:rPr>
        <w:t>协同合作</w:t>
      </w:r>
      <w:r>
        <w:rPr>
          <w:spacing w:val="-96"/>
        </w:rPr>
        <w:t xml:space="preserve"> </w:t>
      </w:r>
      <w:r>
        <w:rPr>
          <w:spacing w:val="-3"/>
        </w:rPr>
        <w:t>”四个维度，提出以下发展建议：</w:t>
      </w:r>
    </w:p>
    <w:p w14:paraId="3849BD90">
      <w:pPr>
        <w:pStyle w:val="2"/>
        <w:spacing w:line="219" w:lineRule="auto"/>
        <w:ind w:left="598"/>
        <w:outlineLvl w:val="2"/>
      </w:pPr>
      <w:r>
        <w:rPr>
          <w:spacing w:val="-1"/>
        </w:rPr>
        <w:t>（一）健全协会治理体系，强化行业自律</w:t>
      </w:r>
    </w:p>
    <w:p w14:paraId="2B5F294C">
      <w:pPr>
        <w:spacing w:line="219" w:lineRule="auto"/>
        <w:sectPr>
          <w:pgSz w:w="11906" w:h="16839"/>
          <w:pgMar w:top="1431" w:right="1701" w:bottom="0" w:left="1780" w:header="0" w:footer="0" w:gutter="0"/>
          <w:cols w:space="720" w:num="1"/>
        </w:sectPr>
      </w:pPr>
    </w:p>
    <w:p w14:paraId="302B583A">
      <w:pPr>
        <w:pStyle w:val="2"/>
        <w:spacing w:before="183" w:line="411" w:lineRule="auto"/>
        <w:ind w:left="23" w:right="76" w:firstLine="562"/>
        <w:jc w:val="both"/>
      </w:pPr>
      <w:r>
        <w:rPr>
          <w:spacing w:val="-4"/>
        </w:rPr>
        <w:t>完善组织架构与资金保障：参照济南模式，设立协会党组，推动</w:t>
      </w:r>
      <w:r>
        <w:rPr>
          <w:spacing w:val="-13"/>
        </w:rPr>
        <w:t>党建与业务融合；积极争取政府专项扶持资金，联合会员企业设立“行</w:t>
      </w:r>
      <w:r>
        <w:rPr>
          <w:spacing w:val="-4"/>
        </w:rPr>
        <w:t>业发展基金”（初期规模不低于</w:t>
      </w:r>
      <w:r>
        <w:rPr>
          <w:spacing w:val="-53"/>
        </w:rPr>
        <w:t xml:space="preserve"> </w:t>
      </w:r>
      <w:r>
        <w:rPr>
          <w:spacing w:val="-4"/>
        </w:rPr>
        <w:t>5</w:t>
      </w:r>
      <w:r>
        <w:rPr>
          <w:spacing w:val="-60"/>
        </w:rPr>
        <w:t xml:space="preserve"> </w:t>
      </w:r>
      <w:r>
        <w:rPr>
          <w:spacing w:val="-4"/>
        </w:rPr>
        <w:t>亿元</w:t>
      </w:r>
      <w:r>
        <w:rPr>
          <w:spacing w:val="-10"/>
        </w:rPr>
        <w:t>），</w:t>
      </w:r>
      <w:r>
        <w:rPr>
          <w:spacing w:val="-4"/>
        </w:rPr>
        <w:t>用于数字化研发、人才培</w:t>
      </w:r>
      <w:r>
        <w:rPr>
          <w:spacing w:val="-1"/>
        </w:rPr>
        <w:t>训等；在北京、沈阳等周边城市设立联络点，拓展服务范围。</w:t>
      </w:r>
    </w:p>
    <w:p w14:paraId="5397D7F8">
      <w:pPr>
        <w:pStyle w:val="2"/>
        <w:spacing w:before="3" w:line="411" w:lineRule="auto"/>
        <w:ind w:left="22" w:right="23" w:firstLine="562"/>
        <w:jc w:val="both"/>
      </w:pPr>
      <w:r>
        <w:rPr>
          <w:spacing w:val="3"/>
        </w:rPr>
        <w:t>制定行业规范与薪酬指引：2026</w:t>
      </w:r>
      <w:r>
        <w:rPr>
          <w:spacing w:val="-53"/>
        </w:rPr>
        <w:t xml:space="preserve"> </w:t>
      </w:r>
      <w:r>
        <w:rPr>
          <w:spacing w:val="3"/>
        </w:rPr>
        <w:t>年上半年完成《长春市监理行</w:t>
      </w:r>
      <w:r>
        <w:rPr>
          <w:spacing w:val="-2"/>
        </w:rPr>
        <w:t>业自律公约》《监理从业人员行为规范》编制，明确恶意低价竞标、</w:t>
      </w:r>
      <w:r>
        <w:rPr>
          <w:spacing w:val="-4"/>
        </w:rPr>
        <w:t>违规操作的惩戒措施；开展全市监理人员薪酬调研，发布年度最低工</w:t>
      </w:r>
      <w:r>
        <w:rPr>
          <w:spacing w:val="-5"/>
        </w:rPr>
        <w:t>资标准指引，保障从业人员权益；借鉴济南“星级评价机制</w:t>
      </w:r>
      <w:r>
        <w:rPr>
          <w:spacing w:val="-94"/>
        </w:rPr>
        <w:t xml:space="preserve"> </w:t>
      </w:r>
      <w:r>
        <w:rPr>
          <w:spacing w:val="-5"/>
        </w:rPr>
        <w:t>”，替代</w:t>
      </w:r>
      <w:r>
        <w:rPr>
          <w:spacing w:val="-1"/>
        </w:rPr>
        <w:t>传统评优，通过公示、征求意见确保公平。</w:t>
      </w:r>
    </w:p>
    <w:p w14:paraId="21C2A090">
      <w:pPr>
        <w:pStyle w:val="2"/>
        <w:spacing w:before="1" w:line="411" w:lineRule="auto"/>
        <w:ind w:left="28" w:firstLine="554"/>
        <w:jc w:val="both"/>
      </w:pPr>
      <w:r>
        <w:t>优化投诉处理机制：建立“线上投诉平台+线下专人对接</w:t>
      </w:r>
      <w:r>
        <w:rPr>
          <w:spacing w:val="-103"/>
        </w:rPr>
        <w:t xml:space="preserve"> </w:t>
      </w:r>
      <w:r>
        <w:t>”的处</w:t>
      </w:r>
      <w:r>
        <w:rPr>
          <w:spacing w:val="-5"/>
        </w:rPr>
        <w:t>理模式，明确投诉受理、调查、反馈的时限（不超过</w:t>
      </w:r>
      <w:r>
        <w:rPr>
          <w:spacing w:val="-37"/>
        </w:rPr>
        <w:t xml:space="preserve"> </w:t>
      </w:r>
      <w:r>
        <w:rPr>
          <w:spacing w:val="-5"/>
        </w:rPr>
        <w:t>15</w:t>
      </w:r>
      <w:r>
        <w:rPr>
          <w:spacing w:val="-61"/>
        </w:rPr>
        <w:t xml:space="preserve"> </w:t>
      </w:r>
      <w:r>
        <w:rPr>
          <w:spacing w:val="-5"/>
        </w:rPr>
        <w:t>个工作日</w:t>
      </w:r>
      <w:r>
        <w:rPr>
          <w:spacing w:val="-35"/>
        </w:rPr>
        <w:t>），</w:t>
      </w:r>
      <w:r>
        <w:rPr>
          <w:spacing w:val="-1"/>
        </w:rPr>
        <w:t>定期发布投诉处理报告，提升行业公信力。</w:t>
      </w:r>
    </w:p>
    <w:p w14:paraId="0FC16130">
      <w:pPr>
        <w:pStyle w:val="2"/>
        <w:spacing w:before="1" w:line="219" w:lineRule="auto"/>
        <w:ind w:left="592"/>
      </w:pPr>
      <w:r>
        <w:rPr>
          <w:spacing w:val="-2"/>
        </w:rPr>
        <w:t>（二）以数字化为抓手，推动技术升级</w:t>
      </w:r>
    </w:p>
    <w:p w14:paraId="29CD1B56">
      <w:pPr>
        <w:pStyle w:val="2"/>
        <w:spacing w:before="294" w:line="411" w:lineRule="auto"/>
        <w:ind w:left="26" w:right="23" w:firstLine="559"/>
        <w:jc w:val="both"/>
      </w:pPr>
      <w:r>
        <w:rPr>
          <w:spacing w:val="3"/>
        </w:rPr>
        <w:t>制定本地化数字化标准：2026</w:t>
      </w:r>
      <w:r>
        <w:rPr>
          <w:spacing w:val="-53"/>
        </w:rPr>
        <w:t xml:space="preserve"> </w:t>
      </w:r>
      <w:r>
        <w:rPr>
          <w:spacing w:val="3"/>
        </w:rPr>
        <w:t>年三季度前，联合长春本地头部</w:t>
      </w:r>
      <w:r>
        <w:rPr>
          <w:spacing w:val="-3"/>
        </w:rPr>
        <w:t>监理企业（如长春城达建设工程管理咨询有限公司</w:t>
      </w:r>
      <w:r>
        <w:rPr>
          <w:spacing w:val="-12"/>
        </w:rPr>
        <w:t>），</w:t>
      </w:r>
      <w:r>
        <w:rPr>
          <w:spacing w:val="-3"/>
        </w:rPr>
        <w:t>参照济南《监</w:t>
      </w:r>
      <w:r>
        <w:rPr>
          <w:spacing w:val="-4"/>
        </w:rPr>
        <w:t>理行业数字化标准》，结合长春市政、房建项目特点，编制《长春市</w:t>
      </w:r>
      <w:r>
        <w:rPr>
          <w:spacing w:val="-2"/>
        </w:rPr>
        <w:t>监理行业数字化应用指南》，明确基础功能模块（如质量安全巡检、</w:t>
      </w:r>
      <w:r>
        <w:rPr>
          <w:spacing w:val="-1"/>
        </w:rPr>
        <w:t>监理日志数字化）的最低要求，支持企业灵活选择转型路径。</w:t>
      </w:r>
    </w:p>
    <w:p w14:paraId="779651E6">
      <w:pPr>
        <w:pStyle w:val="2"/>
        <w:spacing w:before="1" w:line="412" w:lineRule="auto"/>
        <w:ind w:left="25" w:right="76" w:firstLine="562"/>
        <w:jc w:val="both"/>
      </w:pPr>
      <w:r>
        <w:rPr>
          <w:spacing w:val="-4"/>
        </w:rPr>
        <w:t>建立信用激励机制：协调长春市住建部门，将数字化应用评价结果纳入市级建设信用体系，对获评</w:t>
      </w:r>
      <w:r>
        <w:rPr>
          <w:spacing w:val="-66"/>
        </w:rPr>
        <w:t xml:space="preserve"> </w:t>
      </w:r>
      <w:r>
        <w:rPr>
          <w:spacing w:val="-4"/>
        </w:rPr>
        <w:t>A</w:t>
      </w:r>
      <w:r>
        <w:rPr>
          <w:spacing w:val="-56"/>
        </w:rPr>
        <w:t xml:space="preserve"> </w:t>
      </w:r>
      <w:r>
        <w:rPr>
          <w:spacing w:val="-4"/>
        </w:rPr>
        <w:t>级的企业，在政府项目</w:t>
      </w:r>
      <w:r>
        <w:rPr>
          <w:spacing w:val="-5"/>
        </w:rPr>
        <w:t>投标中给</w:t>
      </w:r>
      <w:r>
        <w:rPr>
          <w:spacing w:val="-3"/>
        </w:rPr>
        <w:t>予加分（如</w:t>
      </w:r>
      <w:r>
        <w:rPr>
          <w:spacing w:val="-54"/>
        </w:rPr>
        <w:t xml:space="preserve"> </w:t>
      </w:r>
      <w:r>
        <w:rPr>
          <w:spacing w:val="-3"/>
        </w:rPr>
        <w:t>3%-5%</w:t>
      </w:r>
      <w:r>
        <w:rPr>
          <w:spacing w:val="7"/>
        </w:rPr>
        <w:t>）；</w:t>
      </w:r>
      <w:r>
        <w:rPr>
          <w:spacing w:val="-3"/>
        </w:rPr>
        <w:t>每年筛选</w:t>
      </w:r>
      <w:r>
        <w:rPr>
          <w:spacing w:val="-54"/>
        </w:rPr>
        <w:t xml:space="preserve"> </w:t>
      </w:r>
      <w:r>
        <w:rPr>
          <w:spacing w:val="-3"/>
        </w:rPr>
        <w:t>3-5</w:t>
      </w:r>
      <w:r>
        <w:rPr>
          <w:spacing w:val="-59"/>
        </w:rPr>
        <w:t xml:space="preserve"> </w:t>
      </w:r>
      <w:r>
        <w:rPr>
          <w:spacing w:val="-3"/>
        </w:rPr>
        <w:t>家优质数字化供应商，组织线下</w:t>
      </w:r>
      <w:r>
        <w:rPr>
          <w:spacing w:val="-1"/>
        </w:rPr>
        <w:t>推介会，降低企业采购成本。</w:t>
      </w:r>
    </w:p>
    <w:p w14:paraId="28BDF202">
      <w:pPr>
        <w:spacing w:line="412" w:lineRule="auto"/>
        <w:sectPr>
          <w:pgSz w:w="11906" w:h="16839"/>
          <w:pgMar w:top="1431" w:right="1723" w:bottom="0" w:left="1785" w:header="0" w:footer="0" w:gutter="0"/>
          <w:cols w:space="720" w:num="1"/>
        </w:sectPr>
      </w:pPr>
    </w:p>
    <w:p w14:paraId="3E1FC661">
      <w:pPr>
        <w:pStyle w:val="2"/>
        <w:spacing w:before="183" w:line="411" w:lineRule="auto"/>
        <w:ind w:left="23" w:firstLine="560"/>
        <w:jc w:val="both"/>
      </w:pPr>
      <w:r>
        <w:rPr>
          <w:spacing w:val="2"/>
        </w:rPr>
        <w:t>试点推广智能技术：2027</w:t>
      </w:r>
      <w:r>
        <w:rPr>
          <w:spacing w:val="-53"/>
        </w:rPr>
        <w:t xml:space="preserve"> </w:t>
      </w:r>
      <w:r>
        <w:rPr>
          <w:spacing w:val="2"/>
        </w:rPr>
        <w:t>年前，选择</w:t>
      </w:r>
      <w:r>
        <w:rPr>
          <w:spacing w:val="-54"/>
        </w:rPr>
        <w:t xml:space="preserve"> </w:t>
      </w:r>
      <w:r>
        <w:rPr>
          <w:spacing w:val="2"/>
        </w:rPr>
        <w:t>2-3</w:t>
      </w:r>
      <w:r>
        <w:rPr>
          <w:spacing w:val="-53"/>
        </w:rPr>
        <w:t xml:space="preserve"> </w:t>
      </w:r>
      <w:r>
        <w:rPr>
          <w:spacing w:val="2"/>
        </w:rPr>
        <w:t>个大型市</w:t>
      </w:r>
      <w:r>
        <w:rPr>
          <w:spacing w:val="1"/>
        </w:rPr>
        <w:t>政项目（如</w:t>
      </w:r>
      <w:r>
        <w:rPr>
          <w:spacing w:val="6"/>
        </w:rPr>
        <w:t>道路改造、公园建设</w:t>
      </w:r>
      <w:r>
        <w:rPr>
          <w:spacing w:val="11"/>
        </w:rPr>
        <w:t>），</w:t>
      </w:r>
      <w:r>
        <w:rPr>
          <w:spacing w:val="6"/>
        </w:rPr>
        <w:t>试点应用监理巡检机器人、</w:t>
      </w:r>
      <w:r>
        <w:t>AI</w:t>
      </w:r>
      <w:r>
        <w:rPr>
          <w:spacing w:val="6"/>
        </w:rPr>
        <w:t>质量</w:t>
      </w:r>
      <w:r>
        <w:rPr>
          <w:spacing w:val="5"/>
        </w:rPr>
        <w:t>检测工</w:t>
      </w:r>
      <w:r>
        <w:rPr>
          <w:spacing w:val="-5"/>
        </w:rPr>
        <w:t>具；联合高校（如长春工程学院）开展“智能监</w:t>
      </w:r>
      <w:r>
        <w:rPr>
          <w:spacing w:val="-6"/>
        </w:rPr>
        <w:t>理技术研发</w:t>
      </w:r>
      <w:r>
        <w:rPr>
          <w:spacing w:val="-103"/>
        </w:rPr>
        <w:t xml:space="preserve"> </w:t>
      </w:r>
      <w:r>
        <w:rPr>
          <w:spacing w:val="-6"/>
        </w:rPr>
        <w:t>”</w:t>
      </w:r>
      <w:r>
        <w:rPr>
          <w:spacing w:val="-47"/>
        </w:rPr>
        <w:t xml:space="preserve"> </w:t>
      </w:r>
      <w:r>
        <w:rPr>
          <w:spacing w:val="-6"/>
        </w:rPr>
        <w:t>课题，</w:t>
      </w:r>
      <w:r>
        <w:rPr>
          <w:spacing w:val="-1"/>
        </w:rPr>
        <w:t>解决本地项目技术适配问题。</w:t>
      </w:r>
    </w:p>
    <w:p w14:paraId="18CC8A8A">
      <w:pPr>
        <w:pStyle w:val="2"/>
        <w:spacing w:before="1" w:line="220" w:lineRule="auto"/>
        <w:ind w:left="592"/>
      </w:pPr>
      <w:r>
        <w:rPr>
          <w:spacing w:val="-1"/>
        </w:rPr>
        <w:t>（三）突破全过程咨询瓶颈，加速行业转型</w:t>
      </w:r>
    </w:p>
    <w:p w14:paraId="2E49720A">
      <w:pPr>
        <w:pStyle w:val="2"/>
        <w:spacing w:before="291" w:line="411" w:lineRule="auto"/>
        <w:ind w:left="26" w:right="23" w:firstLine="564"/>
        <w:jc w:val="both"/>
      </w:pPr>
      <w:r>
        <w:rPr>
          <w:spacing w:val="-8"/>
        </w:rPr>
        <w:t>强化认知与能力建设：2026</w:t>
      </w:r>
      <w:r>
        <w:rPr>
          <w:spacing w:val="-49"/>
        </w:rPr>
        <w:t xml:space="preserve"> </w:t>
      </w:r>
      <w:r>
        <w:rPr>
          <w:spacing w:val="-8"/>
        </w:rPr>
        <w:t>年开展“全过程咨询专项培训</w:t>
      </w:r>
      <w:r>
        <w:rPr>
          <w:spacing w:val="-103"/>
        </w:rPr>
        <w:t xml:space="preserve"> </w:t>
      </w:r>
      <w:r>
        <w:rPr>
          <w:spacing w:val="-8"/>
        </w:rPr>
        <w:t>”（每</w:t>
      </w:r>
      <w:r>
        <w:rPr>
          <w:spacing w:val="-3"/>
        </w:rPr>
        <w:t>年</w:t>
      </w:r>
      <w:r>
        <w:rPr>
          <w:spacing w:val="-56"/>
        </w:rPr>
        <w:t xml:space="preserve"> </w:t>
      </w:r>
      <w:r>
        <w:rPr>
          <w:spacing w:val="-3"/>
        </w:rPr>
        <w:t>2-3</w:t>
      </w:r>
      <w:r>
        <w:rPr>
          <w:spacing w:val="-62"/>
        </w:rPr>
        <w:t xml:space="preserve"> </w:t>
      </w:r>
      <w:r>
        <w:rPr>
          <w:spacing w:val="-3"/>
        </w:rPr>
        <w:t>场</w:t>
      </w:r>
      <w:r>
        <w:rPr>
          <w:spacing w:val="5"/>
        </w:rPr>
        <w:t>），</w:t>
      </w:r>
      <w:r>
        <w:rPr>
          <w:spacing w:val="-3"/>
        </w:rPr>
        <w:t>邀请济南协会专家、高校教授授课，覆盖企业负责人、</w:t>
      </w:r>
      <w:r>
        <w:rPr>
          <w:spacing w:val="-4"/>
        </w:rPr>
        <w:t>技术骨干；组织企业赴济南考察全过程咨询标杆项目（如地铁、综合</w:t>
      </w:r>
      <w:r>
        <w:rPr>
          <w:spacing w:val="-1"/>
        </w:rPr>
        <w:t>管廊</w:t>
      </w:r>
      <w:r>
        <w:rPr>
          <w:spacing w:val="7"/>
        </w:rPr>
        <w:t>），</w:t>
      </w:r>
      <w:r>
        <w:rPr>
          <w:spacing w:val="-1"/>
        </w:rPr>
        <w:t>学习项目策划、造价管控、运营维护等全链条经</w:t>
      </w:r>
      <w:r>
        <w:rPr>
          <w:spacing w:val="-2"/>
        </w:rPr>
        <w:t>验。</w:t>
      </w:r>
    </w:p>
    <w:p w14:paraId="19F23871">
      <w:pPr>
        <w:pStyle w:val="2"/>
        <w:spacing w:before="3" w:line="411" w:lineRule="auto"/>
        <w:ind w:left="23" w:right="76" w:firstLine="560"/>
        <w:jc w:val="both"/>
      </w:pPr>
      <w:r>
        <w:rPr>
          <w:spacing w:val="-4"/>
        </w:rPr>
        <w:t>推动政策落地：协助长春市住建部门制定《全过程工程咨询项目</w:t>
      </w:r>
      <w:r>
        <w:t>承接指引》，明确收费标准、服务范围；在</w:t>
      </w:r>
      <w:r>
        <w:rPr>
          <w:spacing w:val="-48"/>
        </w:rPr>
        <w:t xml:space="preserve"> </w:t>
      </w:r>
      <w:r>
        <w:t>2026</w:t>
      </w:r>
      <w:r>
        <w:rPr>
          <w:spacing w:val="-57"/>
        </w:rPr>
        <w:t xml:space="preserve"> </w:t>
      </w:r>
      <w:r>
        <w:t>年政府投资项目中</w:t>
      </w:r>
      <w:r>
        <w:rPr>
          <w:spacing w:val="2"/>
        </w:rPr>
        <w:t>选取 3-5</w:t>
      </w:r>
      <w:r>
        <w:rPr>
          <w:spacing w:val="-58"/>
        </w:rPr>
        <w:t xml:space="preserve"> </w:t>
      </w:r>
      <w:r>
        <w:rPr>
          <w:spacing w:val="2"/>
        </w:rPr>
        <w:t>个试点，推行“打包招标</w:t>
      </w:r>
      <w:r>
        <w:rPr>
          <w:spacing w:val="-98"/>
        </w:rPr>
        <w:t xml:space="preserve"> </w:t>
      </w:r>
      <w:r>
        <w:rPr>
          <w:spacing w:val="2"/>
        </w:rPr>
        <w:t>”，支</w:t>
      </w:r>
      <w:r>
        <w:rPr>
          <w:spacing w:val="1"/>
        </w:rPr>
        <w:t>持本地企业联合设计、造</w:t>
      </w:r>
      <w:r>
        <w:rPr>
          <w:spacing w:val="-4"/>
        </w:rPr>
        <w:t>价机构组建联合体承接项目；加快监理费监管账户建设，明确建设单</w:t>
      </w:r>
      <w:r>
        <w:rPr>
          <w:spacing w:val="-1"/>
        </w:rPr>
        <w:t>位不配合的惩戒措施（如暂停项目审批）。</w:t>
      </w:r>
    </w:p>
    <w:p w14:paraId="56388454">
      <w:pPr>
        <w:pStyle w:val="2"/>
        <w:spacing w:before="2" w:line="411" w:lineRule="auto"/>
        <w:ind w:left="5" w:right="3" w:firstLine="578"/>
        <w:jc w:val="both"/>
      </w:pPr>
      <w:r>
        <w:rPr>
          <w:spacing w:val="-4"/>
        </w:rPr>
        <w:t>补齐人才短板：联合长春工程学院、吉林建筑大学等高校，开设</w:t>
      </w:r>
      <w:r>
        <w:rPr>
          <w:spacing w:val="-11"/>
        </w:rPr>
        <w:t>“全过程咨询专业</w:t>
      </w:r>
      <w:r>
        <w:rPr>
          <w:spacing w:val="-93"/>
        </w:rPr>
        <w:t xml:space="preserve"> </w:t>
      </w:r>
      <w:r>
        <w:rPr>
          <w:spacing w:val="-11"/>
        </w:rPr>
        <w:t>”，培养兼具监理、造价、法律知识的复合型人才；</w:t>
      </w:r>
      <w:r>
        <w:rPr>
          <w:spacing w:val="1"/>
        </w:rPr>
        <w:t>推动企业与高校共建实习基地，每年吸纳</w:t>
      </w:r>
      <w:r>
        <w:rPr>
          <w:spacing w:val="-54"/>
        </w:rPr>
        <w:t xml:space="preserve"> </w:t>
      </w:r>
      <w:r>
        <w:rPr>
          <w:spacing w:val="1"/>
        </w:rPr>
        <w:t>50-1</w:t>
      </w:r>
      <w:r>
        <w:t>00</w:t>
      </w:r>
      <w:r>
        <w:rPr>
          <w:spacing w:val="-55"/>
        </w:rPr>
        <w:t xml:space="preserve"> </w:t>
      </w:r>
      <w:r>
        <w:t>名应届毕业生参与全过程咨询项目实践。</w:t>
      </w:r>
    </w:p>
    <w:p w14:paraId="06AEE4AF">
      <w:pPr>
        <w:pStyle w:val="2"/>
        <w:spacing w:before="1" w:line="220" w:lineRule="auto"/>
        <w:ind w:left="592"/>
      </w:pPr>
      <w:r>
        <w:rPr>
          <w:spacing w:val="-2"/>
        </w:rPr>
        <w:t>（四）深化两地合作，构建协同生态</w:t>
      </w:r>
    </w:p>
    <w:p w14:paraId="71762A9B">
      <w:pPr>
        <w:pStyle w:val="2"/>
        <w:spacing w:before="287" w:line="413" w:lineRule="auto"/>
        <w:ind w:left="25" w:right="48" w:firstLine="562"/>
        <w:jc w:val="both"/>
      </w:pPr>
      <w:r>
        <w:rPr>
          <w:spacing w:val="-4"/>
        </w:rPr>
        <w:t>建立长效合作机制：与济南协会签订《跨区域行业协同发展合作</w:t>
      </w:r>
      <w:r>
        <w:rPr>
          <w:spacing w:val="-3"/>
        </w:rPr>
        <w:t>协议》，明确在标准共建、人才互派、项目共享等方面的合作内容；</w:t>
      </w:r>
      <w:r>
        <w:rPr>
          <w:spacing w:val="-1"/>
        </w:rPr>
        <w:t>每半年召开一次线上交流会，分享行业动态与实践经验。</w:t>
      </w:r>
    </w:p>
    <w:p w14:paraId="1ED85099">
      <w:pPr>
        <w:spacing w:line="413" w:lineRule="auto"/>
        <w:sectPr>
          <w:pgSz w:w="11906" w:h="16839"/>
          <w:pgMar w:top="1431" w:right="1723" w:bottom="0" w:left="1785" w:header="0" w:footer="0" w:gutter="0"/>
          <w:cols w:space="720" w:num="1"/>
        </w:sectPr>
      </w:pPr>
    </w:p>
    <w:p w14:paraId="60215186">
      <w:pPr>
        <w:pStyle w:val="2"/>
        <w:spacing w:before="183" w:line="411" w:lineRule="auto"/>
        <w:ind w:left="23" w:right="279" w:firstLine="560"/>
        <w:jc w:val="both"/>
      </w:pPr>
      <w:r>
        <w:rPr>
          <w:spacing w:val="-4"/>
        </w:rPr>
        <w:t>推动资源共享：引入济南优质数字化供应商、培训机构，为长春企业提供高性价比的技术解决方案与培训服务；邀请济南头部监理企</w:t>
      </w:r>
      <w:r>
        <w:rPr>
          <w:spacing w:val="-3"/>
        </w:rPr>
        <w:t>业参与长春大型项目监理，通过“</w:t>
      </w:r>
      <w:r>
        <w:rPr>
          <w:spacing w:val="-98"/>
        </w:rPr>
        <w:t xml:space="preserve"> </w:t>
      </w:r>
      <w:r>
        <w:rPr>
          <w:spacing w:val="-3"/>
        </w:rPr>
        <w:t>以干代训</w:t>
      </w:r>
      <w:r>
        <w:rPr>
          <w:spacing w:val="-102"/>
        </w:rPr>
        <w:t xml:space="preserve"> </w:t>
      </w:r>
      <w:r>
        <w:rPr>
          <w:spacing w:val="-3"/>
        </w:rPr>
        <w:t>”提升本地企业</w:t>
      </w:r>
      <w:r>
        <w:rPr>
          <w:spacing w:val="-4"/>
        </w:rPr>
        <w:t>能力。</w:t>
      </w:r>
    </w:p>
    <w:p w14:paraId="59DD7AD2">
      <w:pPr>
        <w:pStyle w:val="2"/>
        <w:spacing w:before="1" w:line="411" w:lineRule="auto"/>
        <w:ind w:left="25" w:firstLine="560"/>
        <w:jc w:val="both"/>
      </w:pPr>
      <w:r>
        <w:rPr>
          <w:spacing w:val="-5"/>
        </w:rPr>
        <w:t>联合开展课题研究：针对“监理行业老龄化</w:t>
      </w:r>
      <w:r>
        <w:rPr>
          <w:spacing w:val="-102"/>
        </w:rPr>
        <w:t xml:space="preserve"> </w:t>
      </w:r>
      <w:r>
        <w:rPr>
          <w:spacing w:val="-5"/>
        </w:rPr>
        <w:t>”“中小微企业转型”</w:t>
      </w:r>
      <w:r>
        <w:rPr>
          <w:spacing w:val="-4"/>
        </w:rPr>
        <w:t>等共性问题，联合济南协会开展专题调研，形成解决方案并在两地推</w:t>
      </w:r>
      <w:r>
        <w:rPr>
          <w:spacing w:val="4"/>
        </w:rPr>
        <w:t xml:space="preserve"> </w:t>
      </w:r>
      <w:r>
        <w:rPr>
          <w:spacing w:val="-1"/>
        </w:rPr>
        <w:t>广；共同申报国家级行业研究课题，提升两地监理行业影响力。</w:t>
      </w:r>
    </w:p>
    <w:p w14:paraId="2FBE627B">
      <w:pPr>
        <w:pStyle w:val="2"/>
        <w:numPr>
          <w:ilvl w:val="0"/>
          <w:numId w:val="1"/>
        </w:numPr>
        <w:spacing w:line="221" w:lineRule="auto"/>
        <w:ind w:left="588"/>
        <w:rPr>
          <w:spacing w:val="-3"/>
        </w:rPr>
      </w:pPr>
      <w:r>
        <w:rPr>
          <w:spacing w:val="-3"/>
        </w:rPr>
        <w:t>调研总结</w:t>
      </w:r>
    </w:p>
    <w:p w14:paraId="0CB78386">
      <w:pPr>
        <w:pStyle w:val="2"/>
        <w:numPr>
          <w:numId w:val="0"/>
        </w:numPr>
        <w:spacing w:line="221" w:lineRule="auto"/>
        <w:rPr>
          <w:spacing w:val="-3"/>
        </w:rPr>
      </w:pPr>
      <w:bookmarkStart w:id="0" w:name="_GoBack"/>
      <w:r>
        <w:rPr>
          <w:spacing w:val="-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109855</wp:posOffset>
            </wp:positionV>
            <wp:extent cx="5459730" cy="4093210"/>
            <wp:effectExtent l="0" t="0" r="7620" b="2540"/>
            <wp:wrapNone/>
            <wp:docPr id="2" name="图片 2" descr="1c7512a73628ab6705ffb1adf61dc0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c7512a73628ab6705ffb1adf61dc0b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973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B8AC9D3">
      <w:pPr>
        <w:pStyle w:val="2"/>
        <w:spacing w:before="290" w:line="411" w:lineRule="auto"/>
        <w:ind w:left="23" w:right="203" w:firstLine="561"/>
        <w:jc w:val="center"/>
        <w:rPr>
          <w:spacing w:val="-4"/>
        </w:rPr>
      </w:pPr>
    </w:p>
    <w:p w14:paraId="6679C8BC">
      <w:pPr>
        <w:pStyle w:val="2"/>
        <w:spacing w:before="290" w:line="411" w:lineRule="auto"/>
        <w:ind w:left="23" w:right="203" w:firstLine="561"/>
        <w:jc w:val="center"/>
        <w:rPr>
          <w:spacing w:val="-4"/>
        </w:rPr>
      </w:pPr>
    </w:p>
    <w:p w14:paraId="5CB3D8DC">
      <w:pPr>
        <w:pStyle w:val="2"/>
        <w:spacing w:before="290" w:line="411" w:lineRule="auto"/>
        <w:ind w:left="23" w:right="203" w:firstLine="561"/>
        <w:jc w:val="center"/>
        <w:rPr>
          <w:spacing w:val="-4"/>
        </w:rPr>
      </w:pPr>
    </w:p>
    <w:p w14:paraId="4221046A">
      <w:pPr>
        <w:pStyle w:val="2"/>
        <w:spacing w:before="290" w:line="411" w:lineRule="auto"/>
        <w:ind w:left="23" w:right="203" w:firstLine="561"/>
        <w:jc w:val="center"/>
        <w:rPr>
          <w:spacing w:val="-4"/>
        </w:rPr>
      </w:pPr>
    </w:p>
    <w:p w14:paraId="4BF8AB15">
      <w:pPr>
        <w:pStyle w:val="2"/>
        <w:spacing w:before="290" w:line="411" w:lineRule="auto"/>
        <w:ind w:left="23" w:right="203" w:firstLine="561"/>
        <w:jc w:val="center"/>
        <w:rPr>
          <w:spacing w:val="-4"/>
        </w:rPr>
      </w:pPr>
    </w:p>
    <w:p w14:paraId="66BED6E5">
      <w:pPr>
        <w:pStyle w:val="2"/>
        <w:spacing w:before="290" w:line="411" w:lineRule="auto"/>
        <w:ind w:left="23" w:right="203" w:firstLine="561"/>
        <w:jc w:val="center"/>
        <w:rPr>
          <w:spacing w:val="-4"/>
        </w:rPr>
      </w:pPr>
    </w:p>
    <w:p w14:paraId="2CAEC5C9">
      <w:pPr>
        <w:pStyle w:val="2"/>
        <w:spacing w:before="290" w:line="411" w:lineRule="auto"/>
        <w:ind w:left="23" w:right="203" w:firstLine="561"/>
        <w:jc w:val="center"/>
        <w:rPr>
          <w:spacing w:val="-4"/>
        </w:rPr>
      </w:pPr>
    </w:p>
    <w:p w14:paraId="5358B5EE">
      <w:pPr>
        <w:pStyle w:val="2"/>
        <w:spacing w:before="290" w:line="411" w:lineRule="auto"/>
        <w:ind w:right="203" w:firstLine="544" w:firstLineChars="200"/>
        <w:jc w:val="both"/>
      </w:pPr>
      <w:r>
        <w:rPr>
          <w:spacing w:val="-4"/>
        </w:rPr>
        <w:t>本次赴济南学习交流，充分感受到济南监理行业在制度建设、数字化转型、全过程咨询推进等方面的先进理念与务实举措。济南的经</w:t>
      </w:r>
      <w:r>
        <w:rPr>
          <w:spacing w:val="-20"/>
        </w:rPr>
        <w:t>验表明，监理行业高质量发展需以“标准为基、技术为翼、协同为要</w:t>
      </w:r>
      <w:r>
        <w:rPr>
          <w:spacing w:val="-89"/>
        </w:rPr>
        <w:t xml:space="preserve"> </w:t>
      </w:r>
      <w:r>
        <w:rPr>
          <w:spacing w:val="-20"/>
        </w:rPr>
        <w:t>”，</w:t>
      </w:r>
      <w:r>
        <w:rPr>
          <w:spacing w:val="-1"/>
        </w:rPr>
        <w:t>通过党建引领、政企协同、行业自律，破解发展瓶颈。</w:t>
      </w:r>
    </w:p>
    <w:p w14:paraId="02DCEF2F">
      <w:pPr>
        <w:pStyle w:val="2"/>
        <w:spacing w:before="3" w:line="412" w:lineRule="auto"/>
        <w:ind w:left="23" w:right="203" w:firstLine="561"/>
        <w:jc w:val="both"/>
      </w:pPr>
      <w:r>
        <w:rPr>
          <w:spacing w:val="-4"/>
        </w:rPr>
        <w:t>长春市监理行业虽面临规模小、转型慢等问题，但具备会员覆盖</w:t>
      </w:r>
      <w:r>
        <w:rPr>
          <w:spacing w:val="-10"/>
        </w:rPr>
        <w:t>率高、政府支持意愿强等优势。下一步，我协会将以本次调研为契机，</w:t>
      </w:r>
      <w:r>
        <w:rPr>
          <w:spacing w:val="-4"/>
        </w:rPr>
        <w:t>结合长春实际消化吸收济南经验，推动制度完善、技术升级、转型突</w:t>
      </w:r>
      <w:r>
        <w:t>破，同时深化两地合作，共同为全国监理行</w:t>
      </w:r>
      <w:r>
        <w:rPr>
          <w:spacing w:val="-1"/>
        </w:rPr>
        <w:t>业转型升级贡献力量。</w:t>
      </w:r>
    </w:p>
    <w:p w14:paraId="331B2A25">
      <w:pPr>
        <w:spacing w:line="273" w:lineRule="auto"/>
        <w:rPr>
          <w:rFonts w:ascii="Arial"/>
          <w:sz w:val="21"/>
        </w:rPr>
      </w:pPr>
    </w:p>
    <w:p w14:paraId="1129A501">
      <w:pPr>
        <w:spacing w:line="274" w:lineRule="auto"/>
        <w:rPr>
          <w:rFonts w:ascii="Arial"/>
          <w:sz w:val="21"/>
        </w:rPr>
      </w:pPr>
    </w:p>
    <w:p w14:paraId="2FF84EC9">
      <w:pPr>
        <w:spacing w:line="274" w:lineRule="auto"/>
        <w:rPr>
          <w:rFonts w:ascii="Arial"/>
          <w:sz w:val="21"/>
        </w:rPr>
      </w:pPr>
    </w:p>
    <w:p w14:paraId="74107505">
      <w:pPr>
        <w:spacing w:line="274" w:lineRule="auto"/>
        <w:rPr>
          <w:rFonts w:ascii="Arial"/>
          <w:sz w:val="21"/>
        </w:rPr>
      </w:pPr>
    </w:p>
    <w:p w14:paraId="7FD363E9">
      <w:pPr>
        <w:spacing w:line="274" w:lineRule="auto"/>
        <w:rPr>
          <w:rFonts w:ascii="Arial"/>
          <w:sz w:val="21"/>
        </w:rPr>
      </w:pPr>
    </w:p>
    <w:p w14:paraId="71F3BC27">
      <w:pPr>
        <w:pStyle w:val="2"/>
        <w:spacing w:before="91" w:line="369" w:lineRule="auto"/>
        <w:ind w:left="4418" w:right="279" w:hanging="567"/>
      </w:pPr>
      <w:r>
        <w:rPr>
          <w:spacing w:val="-1"/>
        </w:rPr>
        <w:t>长春市建设监理协会发展研究委员会</w:t>
      </w:r>
      <w:r>
        <w:rPr>
          <w:spacing w:val="-2"/>
        </w:rPr>
        <w:t>吉林中交工程建设咨询有限公司</w:t>
      </w:r>
    </w:p>
    <w:p w14:paraId="5F4783DC">
      <w:pPr>
        <w:pStyle w:val="2"/>
        <w:spacing w:before="2" w:line="219" w:lineRule="auto"/>
        <w:ind w:left="6023"/>
      </w:pPr>
      <w:r>
        <w:rPr>
          <w:spacing w:val="-10"/>
        </w:rPr>
        <w:t>2025</w:t>
      </w:r>
      <w:r>
        <w:rPr>
          <w:spacing w:val="-54"/>
        </w:rPr>
        <w:t xml:space="preserve"> </w:t>
      </w:r>
      <w:r>
        <w:rPr>
          <w:spacing w:val="-10"/>
        </w:rPr>
        <w:t>年</w:t>
      </w:r>
      <w:r>
        <w:rPr>
          <w:spacing w:val="-39"/>
        </w:rPr>
        <w:t xml:space="preserve"> </w:t>
      </w:r>
      <w:r>
        <w:rPr>
          <w:spacing w:val="-10"/>
        </w:rPr>
        <w:t>12</w:t>
      </w:r>
      <w:r>
        <w:rPr>
          <w:spacing w:val="-54"/>
        </w:rPr>
        <w:t xml:space="preserve"> </w:t>
      </w:r>
      <w:r>
        <w:rPr>
          <w:spacing w:val="-10"/>
        </w:rPr>
        <w:t>月</w:t>
      </w:r>
      <w:r>
        <w:rPr>
          <w:spacing w:val="-39"/>
        </w:rPr>
        <w:t xml:space="preserve"> </w:t>
      </w:r>
      <w:r>
        <w:rPr>
          <w:spacing w:val="-10"/>
        </w:rPr>
        <w:t>17 日</w:t>
      </w:r>
    </w:p>
    <w:sectPr>
      <w:pgSz w:w="11906" w:h="16839"/>
      <w:pgMar w:top="1431" w:right="1520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01CDE1"/>
    <w:multiLevelType w:val="singleLevel"/>
    <w:tmpl w:val="A001CDE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8242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4735</Words>
  <Characters>4869</Characters>
  <TotalTime>1</TotalTime>
  <ScaleCrop>false</ScaleCrop>
  <LinksUpToDate>false</LinksUpToDate>
  <CharactersWithSpaces>5008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2025-12-30T15:15:00Z</dcterms:created>
  <dc:creator>Administrator</dc:creator>
  <cp:lastModifiedBy>齐玉鹏℡</cp:lastModifiedBy>
  <dcterms:modified xsi:type="dcterms:W3CDTF">2026-01-16T05:44:40Z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2026-01-16T13:36:26Z</vt:filetime>
  </property>
  <property fmtid="{D5CDD505-2E9C-101B-9397-08002B2CF9AE}" pid="4" name="KSOTemplateDocerSaveRecord">
    <vt:lpwstr>eyJoZGlkIjoiYjY4NzRiNzljYzAyYzNmOTIwMGViODIwOGQzMGEyMjEiLCJ1c2VySWQiOiI3MjgwMTk0ODIifQ==</vt:lpwstr>
  </property>
  <property fmtid="{D5CDD505-2E9C-101B-9397-08002B2CF9AE}" pid="5" name="KSOProductBuildVer">
    <vt:lpwstr>2052-12.1.0.24657</vt:lpwstr>
  </property>
  <property fmtid="{D5CDD505-2E9C-101B-9397-08002B2CF9AE}" pid="6" name="ICV">
    <vt:lpwstr>E45C2DCB703A4680AB1CAF475ED9F507_12</vt:lpwstr>
  </property>
</Properties>
</file>